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19374" w14:textId="77777777" w:rsidR="008E172B" w:rsidRDefault="008E172B">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8E172B" w14:paraId="6C7445D6" w14:textId="77777777">
        <w:tc>
          <w:tcPr>
            <w:tcW w:w="3116" w:type="dxa"/>
            <w:shd w:val="clear" w:color="auto" w:fill="000000"/>
          </w:tcPr>
          <w:p w14:paraId="2082C1C7" w14:textId="77777777" w:rsidR="008E172B" w:rsidRDefault="00696560">
            <w:pPr>
              <w:pBdr>
                <w:top w:val="nil"/>
                <w:left w:val="nil"/>
                <w:bottom w:val="nil"/>
                <w:right w:val="nil"/>
                <w:between w:val="nil"/>
              </w:pBdr>
              <w:rPr>
                <w:color w:val="000000"/>
              </w:rPr>
            </w:pPr>
            <w:r>
              <w:rPr>
                <w:color w:val="000000"/>
              </w:rPr>
              <w:t>Project</w:t>
            </w:r>
          </w:p>
        </w:tc>
        <w:tc>
          <w:tcPr>
            <w:tcW w:w="3117" w:type="dxa"/>
            <w:shd w:val="clear" w:color="auto" w:fill="000000"/>
          </w:tcPr>
          <w:p w14:paraId="5350B3B4" w14:textId="77777777" w:rsidR="008E172B" w:rsidRDefault="00696560">
            <w:pPr>
              <w:jc w:val="center"/>
              <w:rPr>
                <w:color w:val="FFFFFF"/>
              </w:rPr>
            </w:pPr>
            <w:r>
              <w:rPr>
                <w:color w:val="FFFFFF"/>
              </w:rPr>
              <w:t>Project Manager</w:t>
            </w:r>
          </w:p>
        </w:tc>
        <w:tc>
          <w:tcPr>
            <w:tcW w:w="3117" w:type="dxa"/>
            <w:shd w:val="clear" w:color="auto" w:fill="000000"/>
          </w:tcPr>
          <w:p w14:paraId="5A0AD402" w14:textId="77777777" w:rsidR="008E172B" w:rsidRDefault="00696560">
            <w:pPr>
              <w:jc w:val="center"/>
              <w:rPr>
                <w:color w:val="FFFFFF"/>
              </w:rPr>
            </w:pPr>
            <w:r>
              <w:rPr>
                <w:color w:val="FFFFFF"/>
              </w:rPr>
              <w:t>Date</w:t>
            </w:r>
          </w:p>
        </w:tc>
      </w:tr>
      <w:tr w:rsidR="008E172B" w14:paraId="642A742C" w14:textId="77777777">
        <w:tc>
          <w:tcPr>
            <w:tcW w:w="3116" w:type="dxa"/>
          </w:tcPr>
          <w:p w14:paraId="43A81F46" w14:textId="77777777" w:rsidR="008E172B" w:rsidRDefault="00696560">
            <w:pPr>
              <w:jc w:val="center"/>
              <w:rPr>
                <w:i/>
                <w:sz w:val="20"/>
                <w:szCs w:val="20"/>
              </w:rPr>
            </w:pPr>
            <w:r>
              <w:rPr>
                <w:i/>
                <w:sz w:val="20"/>
                <w:szCs w:val="20"/>
              </w:rPr>
              <w:t>[Name of project]</w:t>
            </w:r>
          </w:p>
        </w:tc>
        <w:tc>
          <w:tcPr>
            <w:tcW w:w="3117" w:type="dxa"/>
          </w:tcPr>
          <w:p w14:paraId="23C49613" w14:textId="77777777" w:rsidR="008E172B" w:rsidRDefault="00696560">
            <w:pPr>
              <w:jc w:val="center"/>
            </w:pPr>
            <w:r>
              <w:rPr>
                <w:i/>
                <w:sz w:val="20"/>
                <w:szCs w:val="20"/>
              </w:rPr>
              <w:t>Sara Pero</w:t>
            </w:r>
          </w:p>
        </w:tc>
        <w:tc>
          <w:tcPr>
            <w:tcW w:w="3117" w:type="dxa"/>
          </w:tcPr>
          <w:p w14:paraId="47BE21FB" w14:textId="77777777" w:rsidR="008E172B" w:rsidRDefault="00696560">
            <w:pPr>
              <w:jc w:val="center"/>
            </w:pPr>
            <w:r>
              <w:rPr>
                <w:i/>
                <w:sz w:val="20"/>
                <w:szCs w:val="20"/>
              </w:rPr>
              <w:t>[Date completed or revised]</w:t>
            </w:r>
          </w:p>
        </w:tc>
      </w:tr>
    </w:tbl>
    <w:p w14:paraId="4BB79B98" w14:textId="77777777" w:rsidR="008E172B" w:rsidRDefault="008E172B"/>
    <w:tbl>
      <w:tblPr>
        <w:tblStyle w:val="a0"/>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8E172B" w14:paraId="6530D01F" w14:textId="77777777">
        <w:tc>
          <w:tcPr>
            <w:tcW w:w="9350" w:type="dxa"/>
            <w:shd w:val="clear" w:color="auto" w:fill="000000"/>
          </w:tcPr>
          <w:p w14:paraId="5DD8E75D" w14:textId="2EE4DCFA" w:rsidR="008E172B" w:rsidRDefault="00696560">
            <w:pPr>
              <w:jc w:val="center"/>
              <w:rPr>
                <w:color w:val="FFFFFF"/>
              </w:rPr>
            </w:pPr>
            <w:r>
              <w:rPr>
                <w:color w:val="FFFFFF"/>
              </w:rPr>
              <w:t>Writing TEAM</w:t>
            </w:r>
          </w:p>
        </w:tc>
      </w:tr>
      <w:tr w:rsidR="008E172B" w14:paraId="2EEE2BCC" w14:textId="77777777">
        <w:trPr>
          <w:trHeight w:val="1923"/>
        </w:trPr>
        <w:tc>
          <w:tcPr>
            <w:tcW w:w="9350" w:type="dxa"/>
          </w:tcPr>
          <w:p w14:paraId="414CF1CF" w14:textId="77777777" w:rsidR="00F5368E" w:rsidRDefault="00F5368E" w:rsidP="00F5368E">
            <w:pPr>
              <w:rPr>
                <w:i/>
                <w:sz w:val="20"/>
                <w:szCs w:val="20"/>
              </w:rPr>
            </w:pPr>
            <w:r>
              <w:rPr>
                <w:i/>
                <w:sz w:val="20"/>
                <w:szCs w:val="20"/>
              </w:rPr>
              <w:t xml:space="preserve">EMSO Writing Team: </w:t>
            </w:r>
          </w:p>
          <w:p w14:paraId="1CAD2056" w14:textId="7ED968F2" w:rsidR="008E172B" w:rsidRPr="00F5368E" w:rsidRDefault="00696560" w:rsidP="00F5368E">
            <w:pPr>
              <w:pStyle w:val="Paragraphedeliste"/>
              <w:numPr>
                <w:ilvl w:val="0"/>
                <w:numId w:val="1"/>
              </w:numPr>
              <w:rPr>
                <w:i/>
                <w:sz w:val="20"/>
                <w:szCs w:val="20"/>
              </w:rPr>
            </w:pPr>
            <w:r w:rsidRPr="00F5368E">
              <w:rPr>
                <w:i/>
                <w:sz w:val="20"/>
                <w:szCs w:val="20"/>
              </w:rPr>
              <w:t>Sara Pero (EMSO CMO)</w:t>
            </w:r>
          </w:p>
          <w:p w14:paraId="38BE4C5F" w14:textId="77777777" w:rsidR="008E172B" w:rsidRDefault="00696560">
            <w:pPr>
              <w:numPr>
                <w:ilvl w:val="0"/>
                <w:numId w:val="1"/>
              </w:numPr>
              <w:rPr>
                <w:i/>
                <w:sz w:val="20"/>
                <w:szCs w:val="20"/>
              </w:rPr>
            </w:pPr>
            <w:r>
              <w:rPr>
                <w:i/>
                <w:sz w:val="20"/>
                <w:szCs w:val="20"/>
              </w:rPr>
              <w:t>V</w:t>
            </w:r>
            <w:r>
              <w:rPr>
                <w:i/>
                <w:sz w:val="20"/>
                <w:szCs w:val="20"/>
              </w:rPr>
              <w:t>alentina Tegas (EMSO CMO)</w:t>
            </w:r>
          </w:p>
          <w:p w14:paraId="7784BD23" w14:textId="77777777" w:rsidR="008E172B" w:rsidRDefault="00696560">
            <w:pPr>
              <w:numPr>
                <w:ilvl w:val="0"/>
                <w:numId w:val="1"/>
              </w:numPr>
              <w:rPr>
                <w:i/>
                <w:sz w:val="20"/>
                <w:szCs w:val="20"/>
              </w:rPr>
            </w:pPr>
            <w:r>
              <w:rPr>
                <w:i/>
                <w:sz w:val="20"/>
                <w:szCs w:val="20"/>
              </w:rPr>
              <w:t>Aljaz Maslo (EMSO CMO)</w:t>
            </w:r>
          </w:p>
          <w:p w14:paraId="3A58E5BF" w14:textId="77777777" w:rsidR="008E172B" w:rsidRDefault="00696560">
            <w:pPr>
              <w:numPr>
                <w:ilvl w:val="0"/>
                <w:numId w:val="1"/>
              </w:numPr>
              <w:rPr>
                <w:i/>
                <w:sz w:val="20"/>
                <w:szCs w:val="20"/>
              </w:rPr>
            </w:pPr>
            <w:r>
              <w:rPr>
                <w:i/>
                <w:sz w:val="20"/>
                <w:szCs w:val="20"/>
              </w:rPr>
              <w:t xml:space="preserve">interested for IT and Cloud Computing: UPC </w:t>
            </w:r>
            <w:hyperlink r:id="rId7">
              <w:r>
                <w:rPr>
                  <w:i/>
                  <w:color w:val="1155CC"/>
                  <w:sz w:val="20"/>
                  <w:szCs w:val="20"/>
                  <w:u w:val="single"/>
                </w:rPr>
                <w:t>enoc.martinez@upc.edu</w:t>
              </w:r>
            </w:hyperlink>
            <w:r>
              <w:rPr>
                <w:i/>
                <w:sz w:val="20"/>
                <w:szCs w:val="20"/>
              </w:rPr>
              <w:t xml:space="preserve"> , Ifremer </w:t>
            </w:r>
            <w:hyperlink r:id="rId8">
              <w:r>
                <w:rPr>
                  <w:i/>
                  <w:color w:val="1155CC"/>
                  <w:sz w:val="20"/>
                  <w:szCs w:val="20"/>
                  <w:u w:val="single"/>
                </w:rPr>
                <w:t>Steven.Piel@ifremer.fr</w:t>
              </w:r>
            </w:hyperlink>
            <w:r>
              <w:rPr>
                <w:i/>
                <w:sz w:val="20"/>
                <w:szCs w:val="20"/>
              </w:rPr>
              <w:t xml:space="preserve">, </w:t>
            </w:r>
            <w:hyperlink r:id="rId9">
              <w:r>
                <w:rPr>
                  <w:i/>
                  <w:color w:val="1155CC"/>
                  <w:sz w:val="20"/>
                  <w:szCs w:val="20"/>
                  <w:u w:val="single"/>
                </w:rPr>
                <w:t>Thierry.Carval@ifremer.fr</w:t>
              </w:r>
            </w:hyperlink>
            <w:r>
              <w:rPr>
                <w:i/>
                <w:sz w:val="20"/>
                <w:szCs w:val="20"/>
              </w:rPr>
              <w:t xml:space="preserve"> </w:t>
            </w:r>
          </w:p>
          <w:p w14:paraId="7F7297F1" w14:textId="77777777" w:rsidR="008E172B" w:rsidRDefault="00696560">
            <w:pPr>
              <w:numPr>
                <w:ilvl w:val="0"/>
                <w:numId w:val="1"/>
              </w:numPr>
              <w:rPr>
                <w:i/>
                <w:sz w:val="20"/>
                <w:szCs w:val="20"/>
              </w:rPr>
            </w:pPr>
            <w:r>
              <w:rPr>
                <w:i/>
                <w:sz w:val="20"/>
                <w:szCs w:val="20"/>
              </w:rPr>
              <w:t>Interested for Corporate c</w:t>
            </w:r>
            <w:r>
              <w:rPr>
                <w:i/>
                <w:sz w:val="20"/>
                <w:szCs w:val="20"/>
              </w:rPr>
              <w:t xml:space="preserve">om: Ifremer </w:t>
            </w:r>
            <w:hyperlink r:id="rId10">
              <w:r>
                <w:rPr>
                  <w:i/>
                  <w:color w:val="1155CC"/>
                  <w:sz w:val="20"/>
                  <w:szCs w:val="20"/>
                  <w:u w:val="single"/>
                </w:rPr>
                <w:t>Nan.Chin.Chu@ifremer.fr</w:t>
              </w:r>
            </w:hyperlink>
            <w:r>
              <w:rPr>
                <w:i/>
                <w:sz w:val="20"/>
                <w:szCs w:val="20"/>
              </w:rPr>
              <w:t xml:space="preserve"> </w:t>
            </w:r>
          </w:p>
          <w:p w14:paraId="6A3BE44C" w14:textId="77777777" w:rsidR="008E172B" w:rsidRDefault="00696560">
            <w:pPr>
              <w:numPr>
                <w:ilvl w:val="0"/>
                <w:numId w:val="1"/>
              </w:numPr>
              <w:rPr>
                <w:i/>
                <w:sz w:val="20"/>
                <w:szCs w:val="20"/>
              </w:rPr>
            </w:pPr>
            <w:r>
              <w:rPr>
                <w:i/>
                <w:sz w:val="20"/>
                <w:szCs w:val="20"/>
              </w:rPr>
              <w:t>interested for Service design and operation: Metrology / e.g. PLOCAN (</w:t>
            </w:r>
            <w:hyperlink r:id="rId11">
              <w:r>
                <w:rPr>
                  <w:i/>
                  <w:color w:val="1155CC"/>
                  <w:sz w:val="20"/>
                  <w:szCs w:val="20"/>
                  <w:u w:val="single"/>
                </w:rPr>
                <w:t>silvana.neves@plocan.eu</w:t>
              </w:r>
            </w:hyperlink>
            <w:r>
              <w:rPr>
                <w:i/>
                <w:sz w:val="20"/>
                <w:szCs w:val="20"/>
              </w:rPr>
              <w:t xml:space="preserve"> ) + OGS +  CNR-IAS(</w:t>
            </w:r>
            <w:hyperlink r:id="rId12">
              <w:r>
                <w:rPr>
                  <w:i/>
                  <w:color w:val="1155CC"/>
                  <w:sz w:val="20"/>
                  <w:szCs w:val="20"/>
                  <w:u w:val="single"/>
                </w:rPr>
                <w:t>sara.pensieri@cnr.it</w:t>
              </w:r>
            </w:hyperlink>
            <w:r>
              <w:rPr>
                <w:i/>
                <w:sz w:val="20"/>
                <w:szCs w:val="20"/>
              </w:rPr>
              <w:t xml:space="preserve">; </w:t>
            </w:r>
            <w:hyperlink r:id="rId13">
              <w:r>
                <w:rPr>
                  <w:i/>
                  <w:color w:val="1155CC"/>
                  <w:sz w:val="20"/>
                  <w:szCs w:val="20"/>
                  <w:u w:val="single"/>
                </w:rPr>
                <w:t>roberto.bozzano@cnr.it</w:t>
              </w:r>
            </w:hyperlink>
            <w:r>
              <w:rPr>
                <w:i/>
                <w:sz w:val="20"/>
                <w:szCs w:val="20"/>
              </w:rPr>
              <w:t xml:space="preserve">) + UPC  (sound), WP9 MINKE lead partners? Ifremer, </w:t>
            </w:r>
            <w:hyperlink r:id="rId14">
              <w:r>
                <w:rPr>
                  <w:i/>
                  <w:color w:val="1155CC"/>
                  <w:sz w:val="20"/>
                  <w:szCs w:val="20"/>
                  <w:u w:val="single"/>
                </w:rPr>
                <w:t>Florence.Salvetat@ifremer.fr</w:t>
              </w:r>
            </w:hyperlink>
            <w:r>
              <w:rPr>
                <w:i/>
                <w:sz w:val="20"/>
                <w:szCs w:val="20"/>
              </w:rPr>
              <w:t xml:space="preserve">, </w:t>
            </w:r>
            <w:hyperlink r:id="rId15">
              <w:r>
                <w:rPr>
                  <w:i/>
                  <w:color w:val="1155CC"/>
                  <w:sz w:val="20"/>
                  <w:szCs w:val="20"/>
                  <w:u w:val="single"/>
                </w:rPr>
                <w:t>Nan.Chin.Chu@ifremer.fr</w:t>
              </w:r>
            </w:hyperlink>
            <w:r>
              <w:rPr>
                <w:i/>
                <w:sz w:val="20"/>
                <w:szCs w:val="20"/>
              </w:rPr>
              <w:t xml:space="preserve"> (link to EU)</w:t>
            </w:r>
          </w:p>
          <w:p w14:paraId="16B2193E" w14:textId="688B5AB3" w:rsidR="008E172B" w:rsidRDefault="00696560">
            <w:pPr>
              <w:numPr>
                <w:ilvl w:val="0"/>
                <w:numId w:val="1"/>
              </w:numPr>
              <w:rPr>
                <w:i/>
                <w:sz w:val="20"/>
                <w:szCs w:val="20"/>
              </w:rPr>
            </w:pPr>
            <w:r>
              <w:rPr>
                <w:i/>
                <w:sz w:val="20"/>
                <w:szCs w:val="20"/>
              </w:rPr>
              <w:t>interested in other stuffs: xBest Practices CNRS+OGS+CNR-IAS+PLOCAN</w:t>
            </w:r>
          </w:p>
          <w:p w14:paraId="45238468" w14:textId="77777777" w:rsidR="00F5368E" w:rsidRDefault="00F5368E" w:rsidP="00F5368E">
            <w:pPr>
              <w:ind w:left="720"/>
              <w:rPr>
                <w:i/>
                <w:sz w:val="20"/>
                <w:szCs w:val="20"/>
              </w:rPr>
            </w:pPr>
          </w:p>
          <w:p w14:paraId="60EB4F8C" w14:textId="77777777" w:rsidR="008E172B" w:rsidRDefault="00F5368E" w:rsidP="00F5368E">
            <w:pPr>
              <w:rPr>
                <w:i/>
                <w:sz w:val="20"/>
                <w:szCs w:val="20"/>
              </w:rPr>
            </w:pPr>
            <w:r>
              <w:rPr>
                <w:i/>
                <w:sz w:val="20"/>
                <w:szCs w:val="20"/>
              </w:rPr>
              <w:t>P</w:t>
            </w:r>
            <w:r w:rsidR="00696560">
              <w:rPr>
                <w:i/>
                <w:sz w:val="20"/>
                <w:szCs w:val="20"/>
              </w:rPr>
              <w:t xml:space="preserve">otential teaching team/companies : Blue cloud  and EGI for CC, SISMER </w:t>
            </w:r>
            <w:r w:rsidR="00D5097B">
              <w:rPr>
                <w:i/>
                <w:sz w:val="20"/>
                <w:szCs w:val="20"/>
              </w:rPr>
              <w:t xml:space="preserve">in Ifremer, univ Milano Biccoca, </w:t>
            </w:r>
            <w:hyperlink r:id="rId16">
              <w:r w:rsidR="00696560">
                <w:rPr>
                  <w:i/>
                  <w:color w:val="1155CC"/>
                  <w:sz w:val="20"/>
                  <w:szCs w:val="20"/>
                  <w:u w:val="single"/>
                </w:rPr>
                <w:t>Steven.Piel@ifremer.fr</w:t>
              </w:r>
            </w:hyperlink>
            <w:r w:rsidR="00696560">
              <w:rPr>
                <w:i/>
                <w:sz w:val="20"/>
                <w:szCs w:val="20"/>
              </w:rPr>
              <w:t xml:space="preserve">, </w:t>
            </w:r>
            <w:hyperlink r:id="rId17">
              <w:r w:rsidR="00696560">
                <w:rPr>
                  <w:i/>
                  <w:color w:val="1155CC"/>
                  <w:sz w:val="20"/>
                  <w:szCs w:val="20"/>
                  <w:u w:val="single"/>
                </w:rPr>
                <w:t>Thierry.Carval@ifremer.fr</w:t>
              </w:r>
            </w:hyperlink>
            <w:r w:rsidR="00696560">
              <w:rPr>
                <w:i/>
                <w:sz w:val="20"/>
                <w:szCs w:val="20"/>
              </w:rPr>
              <w:t xml:space="preserve"> </w:t>
            </w:r>
          </w:p>
          <w:p w14:paraId="40E659B7" w14:textId="77777777" w:rsidR="00F5368E" w:rsidRDefault="00F5368E" w:rsidP="00F5368E">
            <w:pPr>
              <w:rPr>
                <w:i/>
                <w:sz w:val="20"/>
                <w:szCs w:val="20"/>
              </w:rPr>
            </w:pPr>
          </w:p>
          <w:p w14:paraId="497F2D00" w14:textId="23D40AD9" w:rsidR="00F5368E" w:rsidRDefault="00F5368E" w:rsidP="00F5368E">
            <w:pPr>
              <w:rPr>
                <w:i/>
                <w:sz w:val="20"/>
                <w:szCs w:val="20"/>
              </w:rPr>
            </w:pPr>
            <w:r>
              <w:rPr>
                <w:i/>
                <w:sz w:val="20"/>
                <w:szCs w:val="20"/>
              </w:rPr>
              <w:t>ENVRI writing Team?</w:t>
            </w:r>
          </w:p>
        </w:tc>
      </w:tr>
    </w:tbl>
    <w:p w14:paraId="0212FFF0" w14:textId="77777777" w:rsidR="008E172B" w:rsidRDefault="008E172B">
      <w:bookmarkStart w:id="0" w:name="_un7qlsmatwmk" w:colFirst="0" w:colLast="0"/>
      <w:bookmarkEnd w:id="0"/>
    </w:p>
    <w:tbl>
      <w:tblPr>
        <w:tblStyle w:val="a1"/>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5"/>
        <w:gridCol w:w="7185"/>
      </w:tblGrid>
      <w:tr w:rsidR="008E172B" w14:paraId="1DBBBEBE" w14:textId="77777777">
        <w:tc>
          <w:tcPr>
            <w:tcW w:w="9360" w:type="dxa"/>
            <w:gridSpan w:val="2"/>
            <w:shd w:val="clear" w:color="auto" w:fill="BFBFBF"/>
          </w:tcPr>
          <w:p w14:paraId="2DF150F6" w14:textId="77777777" w:rsidR="008E172B" w:rsidRDefault="00696560">
            <w:pPr>
              <w:jc w:val="center"/>
              <w:rPr>
                <w:color w:val="1C4587"/>
              </w:rPr>
            </w:pPr>
            <w:r>
              <w:rPr>
                <w:color w:val="1C4587"/>
              </w:rPr>
              <w:t>Horizon Europe CALL</w:t>
            </w:r>
          </w:p>
        </w:tc>
      </w:tr>
      <w:tr w:rsidR="008E172B" w14:paraId="14EA1D29" w14:textId="77777777">
        <w:tc>
          <w:tcPr>
            <w:tcW w:w="9360" w:type="dxa"/>
            <w:gridSpan w:val="2"/>
            <w:shd w:val="clear" w:color="auto" w:fill="FFFFFF"/>
          </w:tcPr>
          <w:p w14:paraId="4691538B" w14:textId="77777777" w:rsidR="008E172B" w:rsidRDefault="00696560">
            <w:pPr>
              <w:pStyle w:val="Titre2"/>
              <w:spacing w:before="40" w:after="0"/>
              <w:jc w:val="center"/>
              <w:outlineLvl w:val="1"/>
              <w:rPr>
                <w:b w:val="0"/>
                <w:sz w:val="22"/>
                <w:szCs w:val="22"/>
                <w:highlight w:val="white"/>
              </w:rPr>
            </w:pPr>
            <w:bookmarkStart w:id="1" w:name="_30j0zll" w:colFirst="0" w:colLast="0"/>
            <w:bookmarkEnd w:id="1"/>
            <w:r>
              <w:rPr>
                <w:b w:val="0"/>
                <w:sz w:val="22"/>
                <w:szCs w:val="22"/>
                <w:highlight w:val="white"/>
              </w:rPr>
              <w:t xml:space="preserve">HORIZON-INFRA-2025-01-DEV-01 </w:t>
            </w:r>
          </w:p>
          <w:p w14:paraId="503ED123" w14:textId="77777777" w:rsidR="008E172B" w:rsidRDefault="00696560">
            <w:pPr>
              <w:pStyle w:val="Titre2"/>
              <w:spacing w:before="40" w:after="0"/>
              <w:jc w:val="center"/>
              <w:outlineLvl w:val="1"/>
              <w:rPr>
                <w:highlight w:val="white"/>
              </w:rPr>
            </w:pPr>
            <w:bookmarkStart w:id="2" w:name="_a6hipogfxh5y" w:colFirst="0" w:colLast="0"/>
            <w:bookmarkEnd w:id="2"/>
            <w:r>
              <w:rPr>
                <w:b w:val="0"/>
                <w:sz w:val="22"/>
                <w:szCs w:val="22"/>
                <w:highlight w:val="white"/>
              </w:rPr>
              <w:t>Training and up-skilling of research inf</w:t>
            </w:r>
            <w:r>
              <w:rPr>
                <w:b w:val="0"/>
                <w:sz w:val="22"/>
                <w:szCs w:val="22"/>
                <w:highlight w:val="white"/>
              </w:rPr>
              <w:t>rastructures technical staff</w:t>
            </w:r>
          </w:p>
        </w:tc>
      </w:tr>
      <w:tr w:rsidR="008E172B" w14:paraId="587F63C4" w14:textId="77777777">
        <w:tc>
          <w:tcPr>
            <w:tcW w:w="2175" w:type="dxa"/>
            <w:tcBorders>
              <w:bottom w:val="single" w:sz="4" w:space="0" w:color="000000"/>
            </w:tcBorders>
            <w:shd w:val="clear" w:color="auto" w:fill="D9D9D9"/>
          </w:tcPr>
          <w:p w14:paraId="746D6184" w14:textId="77777777" w:rsidR="008E172B" w:rsidRDefault="00696560">
            <w:pPr>
              <w:jc w:val="center"/>
              <w:rPr>
                <w:color w:val="1C4587"/>
              </w:rPr>
            </w:pPr>
            <w:bookmarkStart w:id="3" w:name="_kxhicao16ui8" w:colFirst="0" w:colLast="0"/>
            <w:bookmarkEnd w:id="3"/>
            <w:r>
              <w:t xml:space="preserve"> </w:t>
            </w:r>
            <w:r>
              <w:rPr>
                <w:color w:val="1C4587"/>
              </w:rPr>
              <w:t>Scope</w:t>
            </w:r>
          </w:p>
        </w:tc>
        <w:tc>
          <w:tcPr>
            <w:tcW w:w="7185" w:type="dxa"/>
            <w:shd w:val="clear" w:color="auto" w:fill="FFFFFF"/>
          </w:tcPr>
          <w:p w14:paraId="23430AED" w14:textId="77777777" w:rsidR="008E172B" w:rsidRDefault="00696560">
            <w:pPr>
              <w:spacing w:after="200" w:line="301" w:lineRule="auto"/>
              <w:jc w:val="both"/>
              <w:rPr>
                <w:sz w:val="18"/>
                <w:szCs w:val="18"/>
              </w:rPr>
            </w:pPr>
            <w:r>
              <w:rPr>
                <w:sz w:val="18"/>
                <w:szCs w:val="18"/>
              </w:rPr>
              <w:t>In research infrastructures there is the need for staff with an extraordinary blend of scientific, technical and managerial expertise. Considering that highly skilled personnel play a vital role in constructing, operating and implementing research infrastr</w:t>
            </w:r>
            <w:r>
              <w:rPr>
                <w:sz w:val="18"/>
                <w:szCs w:val="18"/>
              </w:rPr>
              <w:t>uctures and serving users, research infrastructures must be able to attract, up-skill, and valorise specialised staff to exploit their full potential.</w:t>
            </w:r>
          </w:p>
          <w:p w14:paraId="5E06F73E" w14:textId="77777777" w:rsidR="008E172B" w:rsidRDefault="00696560">
            <w:pPr>
              <w:spacing w:after="200" w:line="301" w:lineRule="auto"/>
              <w:jc w:val="both"/>
              <w:rPr>
                <w:sz w:val="18"/>
                <w:szCs w:val="18"/>
              </w:rPr>
            </w:pPr>
            <w:r>
              <w:rPr>
                <w:sz w:val="18"/>
                <w:szCs w:val="18"/>
              </w:rPr>
              <w:t>This action will support structuring the offer of training activities dedicated to enhancing skills and c</w:t>
            </w:r>
            <w:r>
              <w:rPr>
                <w:sz w:val="18"/>
                <w:szCs w:val="18"/>
              </w:rPr>
              <w:t xml:space="preserve">areer profiles of technical staff working in research infrastructures, as ‘one-stop shop(s)’. This would cover activities such as the development of new training programmes addressed to cover specific needs of research infrastructures, training programmes </w:t>
            </w:r>
            <w:r>
              <w:rPr>
                <w:sz w:val="18"/>
                <w:szCs w:val="18"/>
              </w:rPr>
              <w:t>that promote mobility and career opportunities throughout Europe (for example through staff exchange) or that create training opportunities (for example through summer schools or workshops). Programmes may address the improvement of the skills of different</w:t>
            </w:r>
            <w:r>
              <w:rPr>
                <w:sz w:val="18"/>
                <w:szCs w:val="18"/>
              </w:rPr>
              <w:t xml:space="preserve"> professionals working in a single research infrastructure or in a single domain, and may also enhance horizontal key professionals across research infrastructure domains, covering identified common needs such as those related to digital aspects, research </w:t>
            </w:r>
            <w:r>
              <w:rPr>
                <w:sz w:val="18"/>
                <w:szCs w:val="18"/>
              </w:rPr>
              <w:t>data management, Artificial Intelligence (AI) or enhanced remote access. The activities should include the promotion of existing good practices, as well as dissemination and exploitation of successful experiences to a set of relevant stakeholders.</w:t>
            </w:r>
          </w:p>
          <w:p w14:paraId="4C47FADC" w14:textId="77777777" w:rsidR="008E172B" w:rsidRDefault="00696560">
            <w:pPr>
              <w:spacing w:after="200" w:line="301" w:lineRule="auto"/>
              <w:jc w:val="both"/>
              <w:rPr>
                <w:sz w:val="18"/>
                <w:szCs w:val="18"/>
              </w:rPr>
            </w:pPr>
            <w:r>
              <w:rPr>
                <w:sz w:val="18"/>
                <w:szCs w:val="18"/>
              </w:rPr>
              <w:lastRenderedPageBreak/>
              <w:t>I</w:t>
            </w:r>
            <w:r>
              <w:rPr>
                <w:sz w:val="18"/>
                <w:szCs w:val="18"/>
                <w:highlight w:val="yellow"/>
              </w:rPr>
              <w:t>ndividu</w:t>
            </w:r>
            <w:r>
              <w:rPr>
                <w:sz w:val="18"/>
                <w:szCs w:val="18"/>
                <w:highlight w:val="yellow"/>
              </w:rPr>
              <w:t xml:space="preserve">al proposals should focus on one specific domain (or sub-domain for the largest ones) </w:t>
            </w:r>
            <w:r>
              <w:rPr>
                <w:sz w:val="18"/>
                <w:szCs w:val="18"/>
              </w:rPr>
              <w:t>as defined by ESFRI but should allocate efforts to contribute to gathering programmes under an overarching training service or entry point across domains to facilitate co</w:t>
            </w:r>
            <w:r>
              <w:rPr>
                <w:sz w:val="18"/>
                <w:szCs w:val="18"/>
              </w:rPr>
              <w:t>rrelation between training supply and demand and to harmonise and optimise the training services offered. This requires dedicated activities for collaboration with other projects under this topic and, where appropriate, common entry portal or cross-referen</w:t>
            </w:r>
            <w:r>
              <w:rPr>
                <w:sz w:val="18"/>
                <w:szCs w:val="18"/>
              </w:rPr>
              <w:t>ces among portals. Proposals must explicitly state which domain (and sub-domain, where applicable) they are addressing.</w:t>
            </w:r>
          </w:p>
          <w:p w14:paraId="006FB500" w14:textId="77777777" w:rsidR="008E172B" w:rsidRDefault="00696560">
            <w:pPr>
              <w:spacing w:after="200" w:line="301" w:lineRule="auto"/>
              <w:jc w:val="both"/>
              <w:rPr>
                <w:sz w:val="20"/>
                <w:szCs w:val="20"/>
              </w:rPr>
            </w:pPr>
            <w:r>
              <w:rPr>
                <w:sz w:val="18"/>
                <w:szCs w:val="18"/>
              </w:rPr>
              <w:t>Considering past or ongoing actions identifying training needs is encouraged as well as exploring collaboration with relevant training p</w:t>
            </w:r>
            <w:r>
              <w:rPr>
                <w:sz w:val="18"/>
                <w:szCs w:val="18"/>
              </w:rPr>
              <w:t xml:space="preserve">rojects e.g. Marie Skłodowska-Curie Actions with a research infrastructure dimension. Projects may also build on the past activities and experience gained in projects such as </w:t>
            </w:r>
            <w:hyperlink r:id="rId18">
              <w:r>
                <w:rPr>
                  <w:color w:val="0000FF"/>
                  <w:sz w:val="18"/>
                  <w:szCs w:val="18"/>
                  <w:u w:val="single"/>
                </w:rPr>
                <w:t>RItrainPlus</w:t>
              </w:r>
            </w:hyperlink>
            <w:r>
              <w:rPr>
                <w:sz w:val="18"/>
                <w:szCs w:val="18"/>
              </w:rPr>
              <w:t xml:space="preserve"> (Research Infrastructure Training Plus).</w:t>
            </w:r>
          </w:p>
        </w:tc>
      </w:tr>
      <w:tr w:rsidR="008E172B" w14:paraId="3EAAF012" w14:textId="77777777">
        <w:tc>
          <w:tcPr>
            <w:tcW w:w="2175" w:type="dxa"/>
            <w:shd w:val="clear" w:color="auto" w:fill="D9D9D9"/>
          </w:tcPr>
          <w:p w14:paraId="2A233AD6" w14:textId="77777777" w:rsidR="008E172B" w:rsidRDefault="008E172B"/>
          <w:p w14:paraId="2494E083" w14:textId="77777777" w:rsidR="008E172B" w:rsidRDefault="00696560">
            <w:pPr>
              <w:jc w:val="center"/>
              <w:rPr>
                <w:color w:val="1C4587"/>
              </w:rPr>
            </w:pPr>
            <w:r>
              <w:rPr>
                <w:color w:val="1C4587"/>
              </w:rPr>
              <w:t>Outcomes</w:t>
            </w:r>
          </w:p>
          <w:p w14:paraId="7E75C0FA" w14:textId="77777777" w:rsidR="008E172B" w:rsidRDefault="008E172B">
            <w:pPr>
              <w:jc w:val="center"/>
            </w:pPr>
          </w:p>
        </w:tc>
        <w:tc>
          <w:tcPr>
            <w:tcW w:w="7185" w:type="dxa"/>
            <w:tcBorders>
              <w:bottom w:val="single" w:sz="4" w:space="0" w:color="000000"/>
            </w:tcBorders>
          </w:tcPr>
          <w:p w14:paraId="06792A4A" w14:textId="77777777" w:rsidR="008E172B" w:rsidRDefault="00696560">
            <w:pPr>
              <w:spacing w:after="200" w:line="301" w:lineRule="auto"/>
              <w:jc w:val="both"/>
              <w:rPr>
                <w:sz w:val="18"/>
                <w:szCs w:val="18"/>
              </w:rPr>
            </w:pPr>
            <w:r>
              <w:rPr>
                <w:sz w:val="18"/>
                <w:szCs w:val="18"/>
              </w:rPr>
              <w:t>Project results are expected to contribute to the following expected outcomes:</w:t>
            </w:r>
          </w:p>
          <w:p w14:paraId="715808E9" w14:textId="77777777" w:rsidR="008E172B" w:rsidRDefault="00696560">
            <w:pPr>
              <w:numPr>
                <w:ilvl w:val="0"/>
                <w:numId w:val="14"/>
              </w:numPr>
              <w:spacing w:line="301" w:lineRule="auto"/>
              <w:jc w:val="both"/>
              <w:rPr>
                <w:sz w:val="18"/>
                <w:szCs w:val="18"/>
              </w:rPr>
            </w:pPr>
            <w:r>
              <w:rPr>
                <w:sz w:val="18"/>
                <w:szCs w:val="18"/>
              </w:rPr>
              <w:t>Enhanced expertise and knowledge of technical staff working in research infrastructures, for an optimal functioning of the infrastructure.</w:t>
            </w:r>
          </w:p>
          <w:p w14:paraId="595ABD0B" w14:textId="77777777" w:rsidR="008E172B" w:rsidRDefault="00696560">
            <w:pPr>
              <w:numPr>
                <w:ilvl w:val="0"/>
                <w:numId w:val="14"/>
              </w:numPr>
              <w:spacing w:line="301" w:lineRule="auto"/>
              <w:jc w:val="both"/>
              <w:rPr>
                <w:sz w:val="18"/>
                <w:szCs w:val="18"/>
              </w:rPr>
            </w:pPr>
            <w:r>
              <w:rPr>
                <w:sz w:val="18"/>
                <w:szCs w:val="18"/>
              </w:rPr>
              <w:t>Enhanced mobility and career opportunities throughout Europe for technical staff, including across research infrastru</w:t>
            </w:r>
            <w:r>
              <w:rPr>
                <w:sz w:val="18"/>
                <w:szCs w:val="18"/>
              </w:rPr>
              <w:t>cture domains as well as across sectorial careers.</w:t>
            </w:r>
          </w:p>
          <w:p w14:paraId="09132624" w14:textId="77777777" w:rsidR="008E172B" w:rsidRDefault="00696560">
            <w:pPr>
              <w:numPr>
                <w:ilvl w:val="0"/>
                <w:numId w:val="14"/>
              </w:numPr>
              <w:spacing w:after="200" w:line="301" w:lineRule="auto"/>
              <w:jc w:val="both"/>
              <w:rPr>
                <w:sz w:val="18"/>
                <w:szCs w:val="18"/>
              </w:rPr>
            </w:pPr>
            <w:r>
              <w:rPr>
                <w:sz w:val="18"/>
                <w:szCs w:val="18"/>
              </w:rPr>
              <w:t xml:space="preserve">‘One-stop-shop(s)’ of training services dedicated to technical staff that meet the needs of different domains.  </w:t>
            </w:r>
          </w:p>
        </w:tc>
      </w:tr>
      <w:tr w:rsidR="008E172B" w14:paraId="6588761F" w14:textId="77777777">
        <w:tc>
          <w:tcPr>
            <w:tcW w:w="2175" w:type="dxa"/>
            <w:tcBorders>
              <w:bottom w:val="single" w:sz="4" w:space="0" w:color="000000"/>
            </w:tcBorders>
            <w:shd w:val="clear" w:color="auto" w:fill="D9D9D9"/>
          </w:tcPr>
          <w:p w14:paraId="3EC8B6D5" w14:textId="77777777" w:rsidR="008E172B" w:rsidRDefault="00696560">
            <w:pPr>
              <w:jc w:val="center"/>
              <w:rPr>
                <w:color w:val="1C4587"/>
              </w:rPr>
            </w:pPr>
            <w:r>
              <w:rPr>
                <w:color w:val="1C4587"/>
              </w:rPr>
              <w:t>Budget Topic</w:t>
            </w:r>
          </w:p>
        </w:tc>
        <w:tc>
          <w:tcPr>
            <w:tcW w:w="7185" w:type="dxa"/>
            <w:shd w:val="clear" w:color="auto" w:fill="FFFFFF"/>
          </w:tcPr>
          <w:p w14:paraId="351AF07B" w14:textId="77777777" w:rsidR="008E172B" w:rsidRDefault="00696560">
            <w:pPr>
              <w:jc w:val="center"/>
              <w:rPr>
                <w:sz w:val="20"/>
                <w:szCs w:val="20"/>
              </w:rPr>
            </w:pPr>
            <w:r>
              <w:rPr>
                <w:sz w:val="20"/>
                <w:szCs w:val="20"/>
              </w:rPr>
              <w:t>10M</w:t>
            </w:r>
          </w:p>
        </w:tc>
      </w:tr>
      <w:tr w:rsidR="008E172B" w14:paraId="24E83FBB" w14:textId="77777777">
        <w:tc>
          <w:tcPr>
            <w:tcW w:w="2175" w:type="dxa"/>
            <w:tcBorders>
              <w:bottom w:val="single" w:sz="4" w:space="0" w:color="000000"/>
            </w:tcBorders>
            <w:shd w:val="clear" w:color="auto" w:fill="D9D9D9"/>
          </w:tcPr>
          <w:p w14:paraId="3F28827E" w14:textId="77777777" w:rsidR="008E172B" w:rsidRDefault="00696560">
            <w:pPr>
              <w:jc w:val="center"/>
              <w:rPr>
                <w:color w:val="1C4587"/>
              </w:rPr>
            </w:pPr>
            <w:r>
              <w:rPr>
                <w:color w:val="1C4587"/>
              </w:rPr>
              <w:t>Budget Per Proposal</w:t>
            </w:r>
          </w:p>
        </w:tc>
        <w:tc>
          <w:tcPr>
            <w:tcW w:w="7185" w:type="dxa"/>
            <w:shd w:val="clear" w:color="auto" w:fill="FFFFFF"/>
          </w:tcPr>
          <w:p w14:paraId="1022DF96" w14:textId="77777777" w:rsidR="008E172B" w:rsidRDefault="00696560">
            <w:pPr>
              <w:jc w:val="center"/>
              <w:rPr>
                <w:sz w:val="20"/>
                <w:szCs w:val="20"/>
              </w:rPr>
            </w:pPr>
            <w:r>
              <w:rPr>
                <w:sz w:val="20"/>
                <w:szCs w:val="20"/>
              </w:rPr>
              <w:t>1-1,5M</w:t>
            </w:r>
          </w:p>
        </w:tc>
      </w:tr>
      <w:tr w:rsidR="008E172B" w14:paraId="7B19A889" w14:textId="77777777">
        <w:tc>
          <w:tcPr>
            <w:tcW w:w="2175" w:type="dxa"/>
            <w:tcBorders>
              <w:bottom w:val="single" w:sz="4" w:space="0" w:color="000000"/>
            </w:tcBorders>
            <w:shd w:val="clear" w:color="auto" w:fill="D9D9D9"/>
          </w:tcPr>
          <w:p w14:paraId="7CE1B249" w14:textId="77777777" w:rsidR="008E172B" w:rsidRDefault="00696560">
            <w:pPr>
              <w:jc w:val="center"/>
              <w:rPr>
                <w:color w:val="1C4587"/>
              </w:rPr>
            </w:pPr>
            <w:r>
              <w:rPr>
                <w:color w:val="1C4587"/>
              </w:rPr>
              <w:t>Indicative N. projects expected to be funded</w:t>
            </w:r>
          </w:p>
        </w:tc>
        <w:tc>
          <w:tcPr>
            <w:tcW w:w="7185" w:type="dxa"/>
            <w:shd w:val="clear" w:color="auto" w:fill="FFFFFF"/>
          </w:tcPr>
          <w:p w14:paraId="7981940D" w14:textId="77777777" w:rsidR="008E172B" w:rsidRDefault="00696560">
            <w:pPr>
              <w:jc w:val="center"/>
              <w:rPr>
                <w:sz w:val="20"/>
                <w:szCs w:val="20"/>
              </w:rPr>
            </w:pPr>
            <w:r>
              <w:rPr>
                <w:sz w:val="20"/>
                <w:szCs w:val="20"/>
              </w:rPr>
              <w:t>8</w:t>
            </w:r>
          </w:p>
        </w:tc>
      </w:tr>
      <w:tr w:rsidR="008E172B" w14:paraId="7DFD346E" w14:textId="77777777">
        <w:tc>
          <w:tcPr>
            <w:tcW w:w="2175" w:type="dxa"/>
            <w:shd w:val="clear" w:color="auto" w:fill="D9D9D9"/>
          </w:tcPr>
          <w:p w14:paraId="22638CAD" w14:textId="77777777" w:rsidR="008E172B" w:rsidRDefault="008E172B">
            <w:pPr>
              <w:rPr>
                <w:color w:val="1C4587"/>
              </w:rPr>
            </w:pPr>
          </w:p>
          <w:p w14:paraId="60189AE4" w14:textId="77777777" w:rsidR="008E172B" w:rsidRDefault="00696560">
            <w:pPr>
              <w:jc w:val="center"/>
              <w:rPr>
                <w:color w:val="1C4587"/>
              </w:rPr>
            </w:pPr>
            <w:r>
              <w:rPr>
                <w:color w:val="1C4587"/>
              </w:rPr>
              <w:t>Type of Action</w:t>
            </w:r>
          </w:p>
        </w:tc>
        <w:tc>
          <w:tcPr>
            <w:tcW w:w="7185" w:type="dxa"/>
          </w:tcPr>
          <w:p w14:paraId="2AFB1910" w14:textId="77777777" w:rsidR="008E172B" w:rsidRDefault="00696560">
            <w:pPr>
              <w:rPr>
                <w:sz w:val="20"/>
                <w:szCs w:val="20"/>
              </w:rPr>
            </w:pPr>
            <w:r w:rsidRPr="00792E3A">
              <w:rPr>
                <w:sz w:val="20"/>
                <w:szCs w:val="20"/>
                <w:highlight w:val="yellow"/>
              </w:rPr>
              <w:t>CSA-LUMP SUM</w:t>
            </w:r>
          </w:p>
        </w:tc>
      </w:tr>
    </w:tbl>
    <w:p w14:paraId="75D153F2" w14:textId="77777777" w:rsidR="008E172B" w:rsidRDefault="008E172B"/>
    <w:tbl>
      <w:tblPr>
        <w:tblStyle w:val="a2"/>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8E172B" w14:paraId="45B8A3BF" w14:textId="77777777">
        <w:tc>
          <w:tcPr>
            <w:tcW w:w="9350" w:type="dxa"/>
            <w:shd w:val="clear" w:color="auto" w:fill="BFBFBF"/>
          </w:tcPr>
          <w:p w14:paraId="7A8E7202" w14:textId="2F6952F0" w:rsidR="008E172B" w:rsidRDefault="00792E3A">
            <w:pPr>
              <w:jc w:val="center"/>
              <w:rPr>
                <w:color w:val="274E13"/>
              </w:rPr>
            </w:pPr>
            <w:r>
              <w:rPr>
                <w:color w:val="274E13"/>
              </w:rPr>
              <w:t>Rationale</w:t>
            </w:r>
          </w:p>
        </w:tc>
      </w:tr>
      <w:tr w:rsidR="008E172B" w14:paraId="73D606A8" w14:textId="77777777">
        <w:tc>
          <w:tcPr>
            <w:tcW w:w="9350" w:type="dxa"/>
          </w:tcPr>
          <w:p w14:paraId="576EBB50" w14:textId="2242DE51" w:rsidR="008E172B" w:rsidRDefault="00792E3A">
            <w:pPr>
              <w:rPr>
                <w:sz w:val="18"/>
                <w:szCs w:val="18"/>
              </w:rPr>
            </w:pPr>
            <w:r>
              <w:rPr>
                <w:sz w:val="18"/>
                <w:szCs w:val="18"/>
              </w:rPr>
              <w:t xml:space="preserve">Environmental RIs </w:t>
            </w:r>
            <w:r w:rsidR="00696560">
              <w:rPr>
                <w:sz w:val="18"/>
                <w:szCs w:val="18"/>
              </w:rPr>
              <w:t xml:space="preserve"> require</w:t>
            </w:r>
            <w:r w:rsidR="00696560">
              <w:rPr>
                <w:sz w:val="18"/>
                <w:szCs w:val="18"/>
              </w:rPr>
              <w:t xml:space="preserve"> strategic development in its capacity building and service provision to fully realize its potential as</w:t>
            </w:r>
            <w:r w:rsidR="00696560">
              <w:rPr>
                <w:sz w:val="18"/>
                <w:szCs w:val="18"/>
              </w:rPr>
              <w:t xml:space="preserve"> leading </w:t>
            </w:r>
            <w:r w:rsidR="00696560">
              <w:rPr>
                <w:sz w:val="18"/>
                <w:szCs w:val="18"/>
              </w:rPr>
              <w:t>research infrastructure</w:t>
            </w:r>
            <w:r>
              <w:rPr>
                <w:sz w:val="18"/>
                <w:szCs w:val="18"/>
              </w:rPr>
              <w:t>s</w:t>
            </w:r>
            <w:r w:rsidR="00696560">
              <w:rPr>
                <w:sz w:val="18"/>
                <w:szCs w:val="18"/>
              </w:rPr>
              <w:t>. This necessitates focusing</w:t>
            </w:r>
            <w:r w:rsidR="00696560">
              <w:rPr>
                <w:sz w:val="18"/>
                <w:szCs w:val="18"/>
              </w:rPr>
              <w:t xml:space="preserve"> on the following interconnected topics of skill development:</w:t>
            </w:r>
          </w:p>
          <w:p w14:paraId="6110C3E0" w14:textId="77777777" w:rsidR="00792E3A" w:rsidRDefault="00792E3A">
            <w:pPr>
              <w:rPr>
                <w:sz w:val="18"/>
                <w:szCs w:val="18"/>
              </w:rPr>
            </w:pPr>
          </w:p>
          <w:p w14:paraId="4E14DF9A" w14:textId="1F043D10" w:rsidR="008E172B" w:rsidRDefault="00696560">
            <w:pPr>
              <w:rPr>
                <w:sz w:val="18"/>
                <w:szCs w:val="18"/>
              </w:rPr>
            </w:pPr>
            <w:r>
              <w:rPr>
                <w:sz w:val="18"/>
                <w:szCs w:val="18"/>
              </w:rPr>
              <w:t xml:space="preserve"> i) </w:t>
            </w:r>
            <w:r>
              <w:rPr>
                <w:b/>
                <w:sz w:val="18"/>
                <w:szCs w:val="18"/>
              </w:rPr>
              <w:t xml:space="preserve">a critical Enhancement and Expansion of </w:t>
            </w:r>
            <w:r w:rsidR="00792E3A">
              <w:rPr>
                <w:b/>
                <w:sz w:val="18"/>
                <w:szCs w:val="18"/>
              </w:rPr>
              <w:t xml:space="preserve">the training </w:t>
            </w:r>
            <w:r>
              <w:rPr>
                <w:b/>
                <w:sz w:val="18"/>
                <w:szCs w:val="18"/>
              </w:rPr>
              <w:t xml:space="preserve"> and of </w:t>
            </w:r>
            <w:r>
              <w:rPr>
                <w:b/>
                <w:sz w:val="18"/>
                <w:szCs w:val="18"/>
              </w:rPr>
              <w:t>communication capacity</w:t>
            </w:r>
            <w:r w:rsidR="00792E3A">
              <w:rPr>
                <w:b/>
                <w:sz w:val="18"/>
                <w:szCs w:val="18"/>
              </w:rPr>
              <w:t xml:space="preserve"> in ENVRIs</w:t>
            </w:r>
            <w:r>
              <w:rPr>
                <w:sz w:val="18"/>
                <w:szCs w:val="18"/>
              </w:rPr>
              <w:t>. This involves moving beyond ad-hoc training to the design and implementation of structured, modula</w:t>
            </w:r>
            <w:r>
              <w:rPr>
                <w:sz w:val="18"/>
                <w:szCs w:val="18"/>
              </w:rPr>
              <w:t xml:space="preserve">r training programs tailored for internal staff, the broader </w:t>
            </w:r>
            <w:r w:rsidR="00792E3A">
              <w:rPr>
                <w:sz w:val="18"/>
                <w:szCs w:val="18"/>
              </w:rPr>
              <w:t>ENVRI</w:t>
            </w:r>
            <w:r w:rsidR="00792E3A">
              <w:rPr>
                <w:sz w:val="18"/>
                <w:szCs w:val="18"/>
              </w:rPr>
              <w:t xml:space="preserve"> </w:t>
            </w:r>
            <w:r>
              <w:rPr>
                <w:sz w:val="18"/>
                <w:szCs w:val="18"/>
              </w:rPr>
              <w:t>community, and external stakeholders interested in utilizing its unique capabilities. Corporate communication skills are key to be developed in the consortium.</w:t>
            </w:r>
          </w:p>
          <w:p w14:paraId="11D2F43C" w14:textId="5FE8DD86" w:rsidR="008E172B" w:rsidRDefault="00696560">
            <w:pPr>
              <w:rPr>
                <w:sz w:val="18"/>
                <w:szCs w:val="18"/>
              </w:rPr>
            </w:pPr>
            <w:r>
              <w:rPr>
                <w:sz w:val="18"/>
                <w:szCs w:val="18"/>
              </w:rPr>
              <w:t xml:space="preserve"> ii)</w:t>
            </w:r>
            <w:r>
              <w:rPr>
                <w:b/>
                <w:sz w:val="18"/>
                <w:szCs w:val="18"/>
              </w:rPr>
              <w:t xml:space="preserve"> Improve the knowledge and</w:t>
            </w:r>
            <w:r>
              <w:rPr>
                <w:b/>
                <w:sz w:val="18"/>
                <w:szCs w:val="18"/>
              </w:rPr>
              <w:t xml:space="preserve"> capacity building on effective utilization of Virtual Research Environments (VREs)</w:t>
            </w:r>
            <w:r w:rsidR="00792E3A">
              <w:rPr>
                <w:b/>
                <w:sz w:val="18"/>
                <w:szCs w:val="18"/>
              </w:rPr>
              <w:t xml:space="preserve"> and Cloud computing</w:t>
            </w:r>
            <w:r>
              <w:rPr>
                <w:b/>
                <w:sz w:val="18"/>
                <w:szCs w:val="18"/>
              </w:rPr>
              <w:t>.</w:t>
            </w:r>
            <w:r>
              <w:rPr>
                <w:sz w:val="18"/>
                <w:szCs w:val="18"/>
              </w:rPr>
              <w:t xml:space="preserve"> These platforms are crucial for enabling collaborative data processing and  analysis, shared methodologies, and the development of joint research projects across geographi</w:t>
            </w:r>
            <w:r>
              <w:rPr>
                <w:sz w:val="18"/>
                <w:szCs w:val="18"/>
              </w:rPr>
              <w:t>cally dispersed teams.</w:t>
            </w:r>
          </w:p>
          <w:p w14:paraId="64F05ABE" w14:textId="7D072777" w:rsidR="008E172B" w:rsidRDefault="00696560" w:rsidP="00FF6512">
            <w:pPr>
              <w:rPr>
                <w:sz w:val="18"/>
                <w:szCs w:val="18"/>
              </w:rPr>
            </w:pPr>
            <w:r>
              <w:rPr>
                <w:sz w:val="18"/>
                <w:szCs w:val="18"/>
              </w:rPr>
              <w:t xml:space="preserve"> </w:t>
            </w:r>
            <w:r w:rsidRPr="00FF6512">
              <w:rPr>
                <w:b/>
                <w:sz w:val="18"/>
                <w:szCs w:val="18"/>
              </w:rPr>
              <w:t xml:space="preserve">iii) </w:t>
            </w:r>
            <w:r w:rsidR="00792E3A" w:rsidRPr="00FF6512">
              <w:rPr>
                <w:b/>
                <w:sz w:val="18"/>
                <w:szCs w:val="18"/>
              </w:rPr>
              <w:t>improve understanding of User oriented service operation</w:t>
            </w:r>
            <w:r w:rsidR="00792E3A">
              <w:rPr>
                <w:sz w:val="18"/>
                <w:szCs w:val="18"/>
              </w:rPr>
              <w:t xml:space="preserve">  </w:t>
            </w:r>
            <w:r>
              <w:rPr>
                <w:sz w:val="18"/>
                <w:szCs w:val="18"/>
              </w:rPr>
              <w:t xml:space="preserve">derived directly from </w:t>
            </w:r>
            <w:r>
              <w:rPr>
                <w:sz w:val="18"/>
                <w:szCs w:val="18"/>
              </w:rPr>
              <w:t>core observational capabilities is essential.</w:t>
            </w:r>
            <w:r>
              <w:rPr>
                <w:i/>
                <w:sz w:val="18"/>
                <w:szCs w:val="18"/>
              </w:rPr>
              <w:t xml:space="preserve"> This includes the developmen</w:t>
            </w:r>
            <w:r>
              <w:rPr>
                <w:sz w:val="18"/>
                <w:szCs w:val="18"/>
              </w:rPr>
              <w:t>t of robust</w:t>
            </w:r>
            <w:r w:rsidR="00792E3A">
              <w:rPr>
                <w:sz w:val="18"/>
                <w:szCs w:val="18"/>
              </w:rPr>
              <w:t xml:space="preserve"> services, driven by a user oriented strategy with feedback loops for improvements and adaptation.</w:t>
            </w:r>
          </w:p>
        </w:tc>
      </w:tr>
    </w:tbl>
    <w:p w14:paraId="74CA60DA" w14:textId="77777777" w:rsidR="008E172B" w:rsidRDefault="008E172B"/>
    <w:tbl>
      <w:tblPr>
        <w:tblStyle w:val="a3"/>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8E172B" w14:paraId="7A7C4099" w14:textId="77777777">
        <w:tc>
          <w:tcPr>
            <w:tcW w:w="9350" w:type="dxa"/>
            <w:shd w:val="clear" w:color="auto" w:fill="BFBFBF"/>
          </w:tcPr>
          <w:p w14:paraId="12F274EC" w14:textId="77777777" w:rsidR="008E172B" w:rsidRDefault="00696560">
            <w:pPr>
              <w:jc w:val="center"/>
              <w:rPr>
                <w:color w:val="274E13"/>
              </w:rPr>
            </w:pPr>
            <w:r>
              <w:rPr>
                <w:color w:val="274E13"/>
              </w:rPr>
              <w:t>Potential Project Scope</w:t>
            </w:r>
          </w:p>
        </w:tc>
      </w:tr>
      <w:tr w:rsidR="008E172B" w14:paraId="46C37093" w14:textId="77777777">
        <w:tc>
          <w:tcPr>
            <w:tcW w:w="9350" w:type="dxa"/>
          </w:tcPr>
          <w:p w14:paraId="0BC716A3" w14:textId="77777777" w:rsidR="008E172B" w:rsidRDefault="00696560">
            <w:pPr>
              <w:spacing w:after="160" w:line="256" w:lineRule="auto"/>
              <w:rPr>
                <w:sz w:val="18"/>
                <w:szCs w:val="18"/>
              </w:rPr>
            </w:pPr>
            <w:r>
              <w:rPr>
                <w:sz w:val="18"/>
                <w:szCs w:val="18"/>
              </w:rPr>
              <w:lastRenderedPageBreak/>
              <w:t>As expressed  by this InfraCall skills developments in and across RIs are essential to implement and operate RIs and their services and great steps have already made at EU level thanks to the European Masters for the Management of RIs and the RI training c</w:t>
            </w:r>
            <w:r>
              <w:rPr>
                <w:sz w:val="18"/>
                <w:szCs w:val="18"/>
              </w:rPr>
              <w:t>ourse, in its so called RItrain programme. This training covers a wide range of disciplines, from the organization strategy elaboration, to service operations, by passing Corporate communication, financial management and many other key courses. Even if thi</w:t>
            </w:r>
            <w:r>
              <w:rPr>
                <w:sz w:val="18"/>
                <w:szCs w:val="18"/>
              </w:rPr>
              <w:t>s training programme is well organized to board single RIs’ cases with thanks to field work activities and preparatory work, it cannot tackle domain specific challenges and needs, and lesser the sub-domain ones.</w:t>
            </w:r>
          </w:p>
          <w:p w14:paraId="6FBC11CD" w14:textId="77777777" w:rsidR="008E172B" w:rsidRDefault="00696560">
            <w:pPr>
              <w:spacing w:after="160" w:line="256" w:lineRule="auto"/>
              <w:rPr>
                <w:sz w:val="18"/>
                <w:szCs w:val="18"/>
              </w:rPr>
            </w:pPr>
            <w:r>
              <w:rPr>
                <w:sz w:val="18"/>
                <w:szCs w:val="18"/>
              </w:rPr>
              <w:t>SKILLS4EOSC.</w:t>
            </w:r>
            <w:commentRangeStart w:id="4"/>
            <w:r>
              <w:rPr>
                <w:sz w:val="18"/>
                <w:szCs w:val="18"/>
              </w:rPr>
              <w:t>..</w:t>
            </w:r>
            <w:commentRangeEnd w:id="4"/>
            <w:r>
              <w:commentReference w:id="4"/>
            </w:r>
          </w:p>
          <w:p w14:paraId="1D03D438" w14:textId="77777777" w:rsidR="008E172B" w:rsidRDefault="00696560">
            <w:pPr>
              <w:spacing w:after="160" w:line="256" w:lineRule="auto"/>
              <w:rPr>
                <w:sz w:val="18"/>
                <w:szCs w:val="18"/>
              </w:rPr>
            </w:pPr>
            <w:r>
              <w:rPr>
                <w:sz w:val="18"/>
                <w:szCs w:val="18"/>
              </w:rPr>
              <w:t>The proposed training activities are dedicated to enhancing skills and career profiles of technical staff working in environmental research infrastructures and will intersect data science, including skills in IT and digital, data management and best practi</w:t>
            </w:r>
            <w:r>
              <w:rPr>
                <w:sz w:val="18"/>
                <w:szCs w:val="18"/>
              </w:rPr>
              <w:t>ces, data processing and quality control, with User oriented services implementation and operation on long term based on scientific application of data.</w:t>
            </w:r>
          </w:p>
          <w:p w14:paraId="36F12DCE" w14:textId="77777777" w:rsidR="008E172B" w:rsidRDefault="00696560">
            <w:pPr>
              <w:spacing w:after="160" w:line="256" w:lineRule="auto"/>
              <w:rPr>
                <w:sz w:val="18"/>
                <w:szCs w:val="18"/>
              </w:rPr>
            </w:pPr>
            <w:r>
              <w:rPr>
                <w:sz w:val="18"/>
                <w:szCs w:val="18"/>
              </w:rPr>
              <w:t xml:space="preserve"> </w:t>
            </w:r>
          </w:p>
          <w:p w14:paraId="5D76F9EC" w14:textId="77777777" w:rsidR="008E172B" w:rsidRDefault="00696560">
            <w:pPr>
              <w:spacing w:after="160" w:line="256" w:lineRule="auto"/>
              <w:rPr>
                <w:sz w:val="18"/>
                <w:szCs w:val="18"/>
              </w:rPr>
            </w:pPr>
            <w:r>
              <w:rPr>
                <w:sz w:val="18"/>
                <w:szCs w:val="18"/>
              </w:rPr>
              <w:t>In this proposal, we are proposing to joint efforts in the environment domain (ENV) across RIs (so ca</w:t>
            </w:r>
            <w:r>
              <w:rPr>
                <w:sz w:val="18"/>
                <w:szCs w:val="18"/>
              </w:rPr>
              <w:t>lled ENVRIs) taking on board the sub domain expectations.</w:t>
            </w:r>
          </w:p>
          <w:p w14:paraId="385EB484" w14:textId="77777777" w:rsidR="008E172B" w:rsidRDefault="00696560">
            <w:pPr>
              <w:spacing w:after="160" w:line="256" w:lineRule="auto"/>
              <w:rPr>
                <w:sz w:val="18"/>
                <w:szCs w:val="18"/>
              </w:rPr>
            </w:pPr>
            <w:r>
              <w:rPr>
                <w:sz w:val="18"/>
                <w:szCs w:val="18"/>
              </w:rPr>
              <w:t>As explained hereafter 3 topics of skills development and training have been identified as priority ones for the ENVRIs:</w:t>
            </w:r>
          </w:p>
          <w:p w14:paraId="2440075E" w14:textId="77777777" w:rsidR="008E172B" w:rsidRDefault="00696560">
            <w:pPr>
              <w:spacing w:line="276" w:lineRule="auto"/>
              <w:ind w:left="1480" w:hanging="720"/>
              <w:rPr>
                <w:sz w:val="18"/>
                <w:szCs w:val="18"/>
              </w:rPr>
            </w:pPr>
            <w:r>
              <w:rPr>
                <w:sz w:val="18"/>
                <w:szCs w:val="18"/>
              </w:rPr>
              <w:t>i)</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sz w:val="18"/>
                <w:szCs w:val="18"/>
              </w:rPr>
              <w:t>Topic # 1</w:t>
            </w:r>
            <w:r>
              <w:rPr>
                <w:sz w:val="18"/>
                <w:szCs w:val="18"/>
              </w:rPr>
              <w:t>: IT and Cloud computing to deploy and operate the IT components that enable the operation of Virtual Services with access to Virtual Labs and systems.</w:t>
            </w:r>
          </w:p>
          <w:p w14:paraId="47676BB4" w14:textId="77777777" w:rsidR="008E172B" w:rsidRDefault="00696560">
            <w:pPr>
              <w:spacing w:line="256" w:lineRule="auto"/>
              <w:ind w:left="1480" w:hanging="720"/>
              <w:rPr>
                <w:sz w:val="18"/>
                <w:szCs w:val="18"/>
              </w:rPr>
            </w:pPr>
            <w:r>
              <w:rPr>
                <w:sz w:val="18"/>
                <w:szCs w:val="18"/>
              </w:rPr>
              <w:t>ii)</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sz w:val="18"/>
                <w:szCs w:val="18"/>
              </w:rPr>
              <w:t>Topic # 2</w:t>
            </w:r>
            <w:r>
              <w:rPr>
                <w:sz w:val="18"/>
                <w:szCs w:val="18"/>
              </w:rPr>
              <w:t>: Implementation and operation of Virtual Services</w:t>
            </w:r>
          </w:p>
          <w:p w14:paraId="659BA7F6" w14:textId="77777777" w:rsidR="008E172B" w:rsidRDefault="00696560">
            <w:pPr>
              <w:spacing w:line="256" w:lineRule="auto"/>
              <w:ind w:left="1480" w:hanging="720"/>
              <w:rPr>
                <w:sz w:val="18"/>
                <w:szCs w:val="18"/>
              </w:rPr>
            </w:pPr>
            <w:r>
              <w:rPr>
                <w:sz w:val="18"/>
                <w:szCs w:val="18"/>
              </w:rPr>
              <w:t>iii)</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sz w:val="18"/>
                <w:szCs w:val="18"/>
              </w:rPr>
              <w:t>Topic # 3</w:t>
            </w:r>
            <w:r>
              <w:rPr>
                <w:sz w:val="18"/>
                <w:szCs w:val="18"/>
              </w:rPr>
              <w:t>: Cap</w:t>
            </w:r>
            <w:r>
              <w:rPr>
                <w:sz w:val="18"/>
                <w:szCs w:val="18"/>
              </w:rPr>
              <w:t>acity Building and Corporate communication in the ENV domain and sub-domains</w:t>
            </w:r>
          </w:p>
          <w:p w14:paraId="1F8784D3" w14:textId="77777777" w:rsidR="008E172B" w:rsidRDefault="00696560">
            <w:pPr>
              <w:spacing w:line="276" w:lineRule="auto"/>
              <w:ind w:left="760"/>
              <w:rPr>
                <w:sz w:val="18"/>
                <w:szCs w:val="18"/>
              </w:rPr>
            </w:pPr>
            <w:r>
              <w:rPr>
                <w:sz w:val="18"/>
                <w:szCs w:val="18"/>
              </w:rPr>
              <w:t xml:space="preserve"> </w:t>
            </w:r>
          </w:p>
          <w:p w14:paraId="2CFF612E" w14:textId="77777777" w:rsidR="008E172B" w:rsidRDefault="00696560">
            <w:pPr>
              <w:spacing w:after="160" w:line="256" w:lineRule="auto"/>
              <w:rPr>
                <w:sz w:val="18"/>
                <w:szCs w:val="18"/>
              </w:rPr>
            </w:pPr>
            <w:r>
              <w:rPr>
                <w:sz w:val="18"/>
                <w:szCs w:val="18"/>
              </w:rPr>
              <w:t>The project will focus on the improvement of the capacity building of ENVRI community on VRE use and cloud computing, including the integration of relevant ENVRI datasets and to</w:t>
            </w:r>
            <w:r>
              <w:rPr>
                <w:sz w:val="18"/>
                <w:szCs w:val="18"/>
              </w:rPr>
              <w:t>ols for collaborative analysis in ENVRI sub-domains. These skills are essential to operate Virtual Services in RIs. The topic #3 will run across the two first ones as use cases.</w:t>
            </w:r>
          </w:p>
          <w:p w14:paraId="5C3FE2F9" w14:textId="77777777" w:rsidR="008E172B" w:rsidRDefault="00696560">
            <w:pPr>
              <w:spacing w:after="160" w:line="256" w:lineRule="auto"/>
              <w:rPr>
                <w:sz w:val="18"/>
                <w:szCs w:val="18"/>
              </w:rPr>
            </w:pPr>
            <w:r>
              <w:rPr>
                <w:sz w:val="18"/>
                <w:szCs w:val="18"/>
              </w:rPr>
              <w:t xml:space="preserve"> </w:t>
            </w:r>
          </w:p>
          <w:p w14:paraId="19F34C51" w14:textId="77777777" w:rsidR="008E172B" w:rsidRDefault="00696560">
            <w:pPr>
              <w:spacing w:after="160" w:line="256" w:lineRule="auto"/>
              <w:rPr>
                <w:sz w:val="18"/>
                <w:szCs w:val="18"/>
              </w:rPr>
            </w:pPr>
            <w:r>
              <w:rPr>
                <w:b/>
                <w:sz w:val="18"/>
                <w:szCs w:val="18"/>
              </w:rPr>
              <w:t>Topic # 1</w:t>
            </w:r>
            <w:r>
              <w:rPr>
                <w:sz w:val="18"/>
                <w:szCs w:val="18"/>
              </w:rPr>
              <w:t>: The Environmental sector is facing growing difficulties in gettin</w:t>
            </w:r>
            <w:r>
              <w:rPr>
                <w:sz w:val="18"/>
                <w:szCs w:val="18"/>
              </w:rPr>
              <w:t>g highly skilled personal in IT, cloud computing and service deployments and operations as these are more commonly fostered in the Digital sector that offer greater careers with a well-developed community of peers. Beyond the digital domain, some scientifi</w:t>
            </w:r>
            <w:r>
              <w:rPr>
                <w:sz w:val="18"/>
                <w:szCs w:val="18"/>
              </w:rPr>
              <w:t xml:space="preserve">c communities, such as in astrophysics or satellite observations, were used to deal with big data and to process and analyse data in cloud computing or super computers for decades. Due to more recent </w:t>
            </w:r>
            <w:r>
              <w:rPr>
                <w:i/>
                <w:sz w:val="18"/>
                <w:szCs w:val="18"/>
              </w:rPr>
              <w:t>in situ</w:t>
            </w:r>
            <w:r>
              <w:rPr>
                <w:sz w:val="18"/>
                <w:szCs w:val="18"/>
              </w:rPr>
              <w:t xml:space="preserve"> observation technologies in the environmental do</w:t>
            </w:r>
            <w:r>
              <w:rPr>
                <w:sz w:val="18"/>
                <w:szCs w:val="18"/>
              </w:rPr>
              <w:t>main, data flows generated by automated long lasting observation systems, as for instance marine images or acoustic time series, big data also hits in situ observing scientists. The purpose of topic #2 is to develop and foster skills in the deployment of V</w:t>
            </w:r>
            <w:r>
              <w:rPr>
                <w:sz w:val="18"/>
                <w:szCs w:val="18"/>
              </w:rPr>
              <w:t xml:space="preserve">REs, parallel computing, APIs, IT based services  </w:t>
            </w:r>
            <w:r>
              <w:rPr>
                <w:i/>
                <w:sz w:val="18"/>
                <w:szCs w:val="18"/>
                <w:highlight w:val="yellow"/>
              </w:rPr>
              <w:t>… tbc</w:t>
            </w:r>
          </w:p>
          <w:p w14:paraId="25C37B72" w14:textId="77777777" w:rsidR="008E172B" w:rsidRDefault="00696560">
            <w:pPr>
              <w:spacing w:after="160" w:line="256" w:lineRule="auto"/>
              <w:rPr>
                <w:sz w:val="18"/>
                <w:szCs w:val="18"/>
              </w:rPr>
            </w:pPr>
            <w:r>
              <w:rPr>
                <w:b/>
                <w:sz w:val="18"/>
                <w:szCs w:val="18"/>
              </w:rPr>
              <w:t>Topic # 2</w:t>
            </w:r>
            <w:r>
              <w:rPr>
                <w:sz w:val="18"/>
                <w:szCs w:val="18"/>
              </w:rPr>
              <w:t>: Implementation and operation of Virtual Services: In general, scientists and engineers, depending on their role and skills do not perceive the concept of user-oriented services in a homogen</w:t>
            </w:r>
            <w:r>
              <w:rPr>
                <w:sz w:val="18"/>
                <w:szCs w:val="18"/>
              </w:rPr>
              <w:t>eous way. Besides their successful technical operation, the users ‘satisfaction is the essential drivers of a very good and thus sustainable service on long term. Training on this topic will help align the meaning of users’ oriented services, from implemen</w:t>
            </w:r>
            <w:r>
              <w:rPr>
                <w:sz w:val="18"/>
                <w:szCs w:val="18"/>
              </w:rPr>
              <w:t>tation to their operation and constant updating according to users segments. A focus will be given on services dedicated to the processing and analysis of high volume of data flows as it is commonly needed service.</w:t>
            </w:r>
          </w:p>
          <w:p w14:paraId="57638AD8" w14:textId="77777777" w:rsidR="008E172B" w:rsidRDefault="00696560">
            <w:pPr>
              <w:spacing w:after="160" w:line="256" w:lineRule="auto"/>
              <w:rPr>
                <w:sz w:val="18"/>
                <w:szCs w:val="18"/>
              </w:rPr>
            </w:pPr>
            <w:r>
              <w:rPr>
                <w:sz w:val="18"/>
                <w:szCs w:val="18"/>
              </w:rPr>
              <w:t xml:space="preserve">In addition, in parallel to the increase </w:t>
            </w:r>
            <w:r>
              <w:rPr>
                <w:sz w:val="18"/>
                <w:szCs w:val="18"/>
              </w:rPr>
              <w:t xml:space="preserve">of data volume and real time accessibility to the data, expertise in processing and analysis with skills in AI methods also raised up but not enough experts are available to support RIs operation and expansion in the ENVRI domain. A mitigation solution is </w:t>
            </w:r>
            <w:r>
              <w:rPr>
                <w:sz w:val="18"/>
                <w:szCs w:val="18"/>
              </w:rPr>
              <w:t>to develop capacities across RIs in the ENVRI domain joining efforts for retaining and developing already medium skilled staff members toward expert level.</w:t>
            </w:r>
          </w:p>
          <w:p w14:paraId="20D276C8" w14:textId="77777777" w:rsidR="008E172B" w:rsidRDefault="00696560">
            <w:pPr>
              <w:spacing w:after="160" w:line="256" w:lineRule="auto"/>
              <w:rPr>
                <w:sz w:val="18"/>
                <w:szCs w:val="18"/>
              </w:rPr>
            </w:pPr>
            <w:r>
              <w:rPr>
                <w:b/>
                <w:sz w:val="18"/>
                <w:szCs w:val="18"/>
              </w:rPr>
              <w:t>Topic# 3</w:t>
            </w:r>
            <w:r>
              <w:rPr>
                <w:sz w:val="18"/>
                <w:szCs w:val="18"/>
              </w:rPr>
              <w:t>: As a general trend, science nowadays is lacking resources, moreover in the environmental d</w:t>
            </w:r>
            <w:r>
              <w:rPr>
                <w:sz w:val="18"/>
                <w:szCs w:val="18"/>
              </w:rPr>
              <w:t xml:space="preserve">omain compared to cutting edge science, and institutions are often allocating more staff in technical and management than in communication </w:t>
            </w:r>
            <w:r>
              <w:rPr>
                <w:sz w:val="18"/>
                <w:szCs w:val="18"/>
              </w:rPr>
              <w:lastRenderedPageBreak/>
              <w:t>and awareness. Therefore, RIs are lacking communication expertise and the job is commonly taken over by scientists wh</w:t>
            </w:r>
            <w:r>
              <w:rPr>
                <w:sz w:val="18"/>
                <w:szCs w:val="18"/>
              </w:rPr>
              <w:t>o are not necessarily skilled enough. Topic#3 will support capacity building in corporate communication and public awareness for ENVRIs</w:t>
            </w:r>
            <w:r>
              <w:rPr>
                <w:color w:val="FF0000"/>
                <w:sz w:val="18"/>
                <w:szCs w:val="18"/>
              </w:rPr>
              <w:t xml:space="preserve"> with used cases to develop on the two above topics # 1 &amp; 2. </w:t>
            </w:r>
            <w:r>
              <w:rPr>
                <w:sz w:val="18"/>
                <w:szCs w:val="18"/>
              </w:rPr>
              <w:t xml:space="preserve"> This project is also per se a use case to  design and/or im</w:t>
            </w:r>
            <w:r>
              <w:rPr>
                <w:sz w:val="18"/>
                <w:szCs w:val="18"/>
              </w:rPr>
              <w:t>plement  and optimize RIs capacity building programmes for the future such as for the EMSO Academy. It will offer  encompassing technical training on instrument operation, calibration and data acquisition, and science communication to strengthen the ERIC's</w:t>
            </w:r>
            <w:r>
              <w:rPr>
                <w:sz w:val="18"/>
                <w:szCs w:val="18"/>
              </w:rPr>
              <w:t xml:space="preserve"> external awareness.</w:t>
            </w:r>
          </w:p>
          <w:p w14:paraId="4523A93A" w14:textId="77777777" w:rsidR="008E172B" w:rsidRDefault="00696560">
            <w:pPr>
              <w:spacing w:after="160" w:line="256" w:lineRule="auto"/>
              <w:rPr>
                <w:sz w:val="18"/>
                <w:szCs w:val="18"/>
              </w:rPr>
            </w:pPr>
            <w:r>
              <w:rPr>
                <w:sz w:val="18"/>
                <w:szCs w:val="18"/>
              </w:rPr>
              <w:t xml:space="preserve"> </w:t>
            </w:r>
          </w:p>
          <w:p w14:paraId="041FF65B" w14:textId="77777777" w:rsidR="008E172B" w:rsidRDefault="00696560">
            <w:pPr>
              <w:spacing w:after="160" w:line="256" w:lineRule="auto"/>
              <w:rPr>
                <w:i/>
                <w:sz w:val="16"/>
                <w:szCs w:val="16"/>
              </w:rPr>
            </w:pPr>
            <w:r>
              <w:rPr>
                <w:i/>
                <w:sz w:val="18"/>
                <w:szCs w:val="18"/>
              </w:rPr>
              <w:t>Finally, the project will provide the knowledge for designing joint service on quality control for key biogeochemical parameters across EMSO nodes, leading to the design of harmonized and potentially centralized protocols and workflo</w:t>
            </w:r>
            <w:r>
              <w:rPr>
                <w:i/>
                <w:sz w:val="18"/>
                <w:szCs w:val="18"/>
              </w:rPr>
              <w:t>ws to enhance data quality and accessibility for downstream service development.</w:t>
            </w:r>
            <w:r>
              <w:rPr>
                <w:i/>
                <w:sz w:val="16"/>
                <w:szCs w:val="16"/>
              </w:rPr>
              <w:t xml:space="preserve">[IPIBP01] </w:t>
            </w:r>
          </w:p>
          <w:p w14:paraId="593AC431" w14:textId="77777777" w:rsidR="008E172B" w:rsidRDefault="00696560">
            <w:pPr>
              <w:spacing w:after="160" w:line="256" w:lineRule="auto"/>
              <w:rPr>
                <w:sz w:val="18"/>
                <w:szCs w:val="18"/>
              </w:rPr>
            </w:pPr>
            <w:r>
              <w:rPr>
                <w:sz w:val="18"/>
                <w:szCs w:val="18"/>
              </w:rPr>
              <w:t>This project proposes a comprehensive approach to address needs crossing over the RIs of the ENV domain as well as sub-domains’ specificities. To develop those capac</w:t>
            </w:r>
            <w:r>
              <w:rPr>
                <w:sz w:val="18"/>
                <w:szCs w:val="18"/>
              </w:rPr>
              <w:t>ities in single RIs, use cases will be applied from the domain and sub-domains teachings.</w:t>
            </w:r>
          </w:p>
          <w:p w14:paraId="3E85826A" w14:textId="77777777" w:rsidR="008E172B" w:rsidRDefault="00696560">
            <w:pPr>
              <w:spacing w:after="160" w:line="256" w:lineRule="auto"/>
              <w:rPr>
                <w:i/>
                <w:sz w:val="18"/>
                <w:szCs w:val="18"/>
              </w:rPr>
            </w:pPr>
            <w:r>
              <w:rPr>
                <w:i/>
                <w:sz w:val="18"/>
                <w:szCs w:val="18"/>
              </w:rPr>
              <w:t xml:space="preserve"> </w:t>
            </w:r>
          </w:p>
          <w:p w14:paraId="22E8E497" w14:textId="77777777" w:rsidR="008E172B" w:rsidRDefault="00696560">
            <w:pPr>
              <w:spacing w:after="160" w:line="256" w:lineRule="auto"/>
              <w:rPr>
                <w:sz w:val="18"/>
                <w:szCs w:val="18"/>
              </w:rPr>
            </w:pPr>
            <w:r>
              <w:rPr>
                <w:sz w:val="18"/>
                <w:szCs w:val="18"/>
              </w:rPr>
              <w:t xml:space="preserve">It is consequently organised to address </w:t>
            </w:r>
            <w:r>
              <w:rPr>
                <w:b/>
                <w:sz w:val="18"/>
                <w:szCs w:val="18"/>
              </w:rPr>
              <w:t>3 groups of audience and communities (or specificity levels from basic and common to RIs tailored)</w:t>
            </w:r>
            <w:r>
              <w:rPr>
                <w:sz w:val="18"/>
                <w:szCs w:val="18"/>
              </w:rPr>
              <w:t>:</w:t>
            </w:r>
          </w:p>
          <w:p w14:paraId="5B9644A7" w14:textId="77777777" w:rsidR="008E172B" w:rsidRDefault="00696560">
            <w:pPr>
              <w:spacing w:line="256" w:lineRule="auto"/>
              <w:ind w:left="1480" w:hanging="720"/>
              <w:rPr>
                <w:sz w:val="18"/>
                <w:szCs w:val="18"/>
              </w:rPr>
            </w:pPr>
            <w:r>
              <w:rPr>
                <w:sz w:val="18"/>
                <w:szCs w:val="18"/>
              </w:rPr>
              <w:t>i)</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18"/>
                <w:szCs w:val="18"/>
              </w:rPr>
              <w:t>the ENVRI domain community ,</w:t>
            </w:r>
          </w:p>
          <w:p w14:paraId="2ED4A5AB" w14:textId="77777777" w:rsidR="008E172B" w:rsidRDefault="00696560">
            <w:pPr>
              <w:spacing w:line="256" w:lineRule="auto"/>
              <w:ind w:left="1480" w:hanging="720"/>
              <w:rPr>
                <w:sz w:val="18"/>
                <w:szCs w:val="18"/>
              </w:rPr>
            </w:pPr>
            <w:r>
              <w:rPr>
                <w:sz w:val="18"/>
                <w:szCs w:val="18"/>
              </w:rPr>
              <w:t>ii)</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18"/>
                <w:szCs w:val="18"/>
              </w:rPr>
              <w:t>sub-domain communities encompassed inENVRI (Marine, Atmosphere, geosphere sub-domains)</w:t>
            </w:r>
          </w:p>
          <w:p w14:paraId="2EE45349" w14:textId="77777777" w:rsidR="008E172B" w:rsidRDefault="00696560">
            <w:pPr>
              <w:spacing w:after="160" w:line="256" w:lineRule="auto"/>
              <w:ind w:left="1480" w:hanging="720"/>
              <w:rPr>
                <w:sz w:val="18"/>
                <w:szCs w:val="18"/>
              </w:rPr>
            </w:pPr>
            <w:r>
              <w:rPr>
                <w:sz w:val="18"/>
                <w:szCs w:val="18"/>
              </w:rPr>
              <w:t>iii)</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sz w:val="18"/>
                <w:szCs w:val="18"/>
              </w:rPr>
              <w:t xml:space="preserve">Single RIs of groups of RIs for applicative use cases  </w:t>
            </w:r>
          </w:p>
          <w:p w14:paraId="085BD9E9" w14:textId="77777777" w:rsidR="008E172B" w:rsidRDefault="008E172B">
            <w:pPr>
              <w:rPr>
                <w:i/>
                <w:sz w:val="20"/>
                <w:szCs w:val="20"/>
              </w:rPr>
            </w:pPr>
          </w:p>
        </w:tc>
      </w:tr>
    </w:tbl>
    <w:p w14:paraId="52C28254" w14:textId="77777777" w:rsidR="008E172B" w:rsidRDefault="008E172B"/>
    <w:tbl>
      <w:tblPr>
        <w:tblStyle w:val="a4"/>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8E172B" w14:paraId="50590C50" w14:textId="77777777">
        <w:tc>
          <w:tcPr>
            <w:tcW w:w="9350" w:type="dxa"/>
            <w:shd w:val="clear" w:color="auto" w:fill="BFBFBF"/>
          </w:tcPr>
          <w:p w14:paraId="0B0EC2EF" w14:textId="77777777" w:rsidR="008E172B" w:rsidRDefault="00696560">
            <w:pPr>
              <w:jc w:val="center"/>
              <w:rPr>
                <w:color w:val="274E13"/>
                <w:sz w:val="18"/>
                <w:szCs w:val="18"/>
              </w:rPr>
            </w:pPr>
            <w:r>
              <w:rPr>
                <w:color w:val="274E13"/>
                <w:sz w:val="18"/>
                <w:szCs w:val="18"/>
              </w:rPr>
              <w:t>Expected Outcomes for EMSO</w:t>
            </w:r>
          </w:p>
        </w:tc>
      </w:tr>
      <w:tr w:rsidR="008E172B" w14:paraId="695569E2" w14:textId="77777777">
        <w:tc>
          <w:tcPr>
            <w:tcW w:w="9350" w:type="dxa"/>
          </w:tcPr>
          <w:p w14:paraId="033A2977" w14:textId="4A04A636" w:rsidR="008E172B" w:rsidRDefault="00696560" w:rsidP="00FF6512">
            <w:pPr>
              <w:rPr>
                <w:sz w:val="18"/>
                <w:szCs w:val="18"/>
              </w:rPr>
            </w:pPr>
            <w:r>
              <w:rPr>
                <w:sz w:val="18"/>
                <w:szCs w:val="18"/>
              </w:rPr>
              <w:t>The successful completion of this project will yield several critical outcomes for EMSO. As a general approach, it will  improve a sustainable and impactful EMSO Academy, equipped to continuously train and upskill both its internal workforce and a wider co</w:t>
            </w:r>
            <w:r>
              <w:rPr>
                <w:sz w:val="18"/>
                <w:szCs w:val="18"/>
              </w:rPr>
              <w:t xml:space="preserve">mmunity of users, leading to enhanced operational efficiency and broader scientific engagement. Specifically, the knowledge of effective use of VREs will foster increased collaborative research activities, facilitating the development of </w:t>
            </w:r>
            <w:r w:rsidR="00FF6512">
              <w:rPr>
                <w:sz w:val="18"/>
                <w:szCs w:val="18"/>
              </w:rPr>
              <w:t xml:space="preserve">joint scientific research activities </w:t>
            </w:r>
            <w:r>
              <w:rPr>
                <w:sz w:val="18"/>
                <w:szCs w:val="18"/>
              </w:rPr>
              <w:t xml:space="preserve"> and maximizing the utilization of EMSO's distributed infrastructure. Moreover the rise of the skills on a joint-designed service with other potential Research Infrastructures</w:t>
            </w:r>
            <w:r w:rsidR="00FF6512">
              <w:rPr>
                <w:sz w:val="18"/>
                <w:szCs w:val="18"/>
              </w:rPr>
              <w:t xml:space="preserve"> will help marine RIs to be more sustainable by joining their effort. As application car the marine domain could </w:t>
            </w:r>
            <w:r>
              <w:rPr>
                <w:sz w:val="18"/>
                <w:szCs w:val="18"/>
              </w:rPr>
              <w:t>focus</w:t>
            </w:r>
            <w:r>
              <w:rPr>
                <w:sz w:val="18"/>
                <w:szCs w:val="18"/>
              </w:rPr>
              <w:t xml:space="preserve"> on robust and standardized QA/QC procedures for key biogeoc</w:t>
            </w:r>
            <w:r>
              <w:rPr>
                <w:sz w:val="18"/>
                <w:szCs w:val="18"/>
              </w:rPr>
              <w:t>hemical parameters, will lead an improve of data quality, comparability, and user confidence, paving the way for the development of valuable downstream services and enhancing EMSO and other marine RIs’ role as providers of high-quality ocean observation da</w:t>
            </w:r>
            <w:r>
              <w:rPr>
                <w:sz w:val="18"/>
                <w:szCs w:val="18"/>
              </w:rPr>
              <w:t>ta for diverse applications.</w:t>
            </w:r>
          </w:p>
        </w:tc>
      </w:tr>
    </w:tbl>
    <w:p w14:paraId="0CCBF107" w14:textId="18B0E360" w:rsidR="008E172B" w:rsidRDefault="008E172B">
      <w:pPr>
        <w:rPr>
          <w:sz w:val="18"/>
          <w:szCs w:val="18"/>
        </w:rPr>
      </w:pPr>
    </w:p>
    <w:p w14:paraId="67ECCAFA" w14:textId="77777777" w:rsidR="00F5368E" w:rsidRDefault="00F5368E" w:rsidP="00F5368E"/>
    <w:tbl>
      <w:tblPr>
        <w:tblStyle w:val="a4"/>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F5368E" w14:paraId="15A74011" w14:textId="77777777" w:rsidTr="008114A9">
        <w:tc>
          <w:tcPr>
            <w:tcW w:w="9350" w:type="dxa"/>
            <w:shd w:val="clear" w:color="auto" w:fill="BFBFBF"/>
          </w:tcPr>
          <w:p w14:paraId="0233BB5B" w14:textId="1AA735C6" w:rsidR="00F5368E" w:rsidRDefault="00F5368E" w:rsidP="00F5368E">
            <w:pPr>
              <w:jc w:val="center"/>
              <w:rPr>
                <w:color w:val="274E13"/>
                <w:sz w:val="18"/>
                <w:szCs w:val="18"/>
              </w:rPr>
            </w:pPr>
            <w:r>
              <w:rPr>
                <w:color w:val="274E13"/>
                <w:sz w:val="18"/>
                <w:szCs w:val="18"/>
              </w:rPr>
              <w:t xml:space="preserve">Expected Outcomes for </w:t>
            </w:r>
            <w:r>
              <w:rPr>
                <w:color w:val="274E13"/>
                <w:sz w:val="18"/>
                <w:szCs w:val="18"/>
              </w:rPr>
              <w:t>other RIs</w:t>
            </w:r>
          </w:p>
        </w:tc>
      </w:tr>
      <w:tr w:rsidR="00F5368E" w14:paraId="70A32F6C" w14:textId="77777777" w:rsidTr="008114A9">
        <w:tc>
          <w:tcPr>
            <w:tcW w:w="9350" w:type="dxa"/>
          </w:tcPr>
          <w:p w14:paraId="77C43DBC" w14:textId="013E7252" w:rsidR="00F5368E" w:rsidRDefault="00F5368E" w:rsidP="008114A9">
            <w:pPr>
              <w:rPr>
                <w:sz w:val="18"/>
                <w:szCs w:val="18"/>
              </w:rPr>
            </w:pPr>
            <w:r>
              <w:rPr>
                <w:sz w:val="18"/>
                <w:szCs w:val="18"/>
              </w:rPr>
              <w:t>Xxx</w:t>
            </w:r>
          </w:p>
          <w:p w14:paraId="4C5193E2" w14:textId="7CCDA1C7" w:rsidR="00F5368E" w:rsidRDefault="00F5368E" w:rsidP="008114A9">
            <w:pPr>
              <w:rPr>
                <w:sz w:val="18"/>
                <w:szCs w:val="18"/>
              </w:rPr>
            </w:pPr>
          </w:p>
        </w:tc>
      </w:tr>
    </w:tbl>
    <w:p w14:paraId="3F5F38C5" w14:textId="77777777" w:rsidR="00F5368E" w:rsidRDefault="00F5368E" w:rsidP="00F5368E">
      <w:pPr>
        <w:rPr>
          <w:sz w:val="18"/>
          <w:szCs w:val="18"/>
        </w:rPr>
      </w:pPr>
    </w:p>
    <w:p w14:paraId="39AEEB28" w14:textId="77777777" w:rsidR="00F5368E" w:rsidRDefault="00F5368E">
      <w:pPr>
        <w:rPr>
          <w:sz w:val="18"/>
          <w:szCs w:val="18"/>
        </w:rPr>
        <w:sectPr w:rsidR="00F5368E">
          <w:headerReference w:type="default" r:id="rId21"/>
          <w:pgSz w:w="12240" w:h="15840"/>
          <w:pgMar w:top="1440" w:right="1440" w:bottom="1440" w:left="1440" w:header="720" w:footer="720" w:gutter="0"/>
          <w:pgNumType w:start="1"/>
          <w:cols w:space="720"/>
        </w:sectPr>
      </w:pPr>
    </w:p>
    <w:p w14:paraId="550FAAB9" w14:textId="4CECF63A" w:rsidR="00F5368E" w:rsidRDefault="00F5368E">
      <w:pPr>
        <w:rPr>
          <w:sz w:val="18"/>
          <w:szCs w:val="18"/>
        </w:rPr>
      </w:pPr>
    </w:p>
    <w:p w14:paraId="06EA4F92" w14:textId="5006B0F8" w:rsidR="008E172B" w:rsidRPr="00F5368E" w:rsidRDefault="00F5368E">
      <w:pPr>
        <w:rPr>
          <w:b/>
        </w:rPr>
      </w:pPr>
      <w:r w:rsidRPr="00F5368E">
        <w:rPr>
          <w:b/>
        </w:rPr>
        <w:t>Initial thoughts for a training programme</w:t>
      </w:r>
    </w:p>
    <w:tbl>
      <w:tblPr>
        <w:tblStyle w:val="a5"/>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8E172B" w14:paraId="10D59132" w14:textId="77777777">
        <w:tc>
          <w:tcPr>
            <w:tcW w:w="2340" w:type="dxa"/>
            <w:shd w:val="clear" w:color="auto" w:fill="auto"/>
            <w:tcMar>
              <w:top w:w="100" w:type="dxa"/>
              <w:left w:w="100" w:type="dxa"/>
              <w:bottom w:w="100" w:type="dxa"/>
              <w:right w:w="100" w:type="dxa"/>
            </w:tcMar>
          </w:tcPr>
          <w:p w14:paraId="65FB4617" w14:textId="77777777" w:rsidR="008E172B" w:rsidRDefault="00696560">
            <w:pPr>
              <w:widowControl w:val="0"/>
              <w:pBdr>
                <w:top w:val="nil"/>
                <w:left w:val="nil"/>
                <w:bottom w:val="nil"/>
                <w:right w:val="nil"/>
                <w:between w:val="nil"/>
              </w:pBdr>
              <w:spacing w:after="0" w:line="240" w:lineRule="auto"/>
            </w:pPr>
            <w:r>
              <w:t>Training embryonic programme</w:t>
            </w:r>
          </w:p>
        </w:tc>
        <w:tc>
          <w:tcPr>
            <w:tcW w:w="2340" w:type="dxa"/>
            <w:shd w:val="clear" w:color="auto" w:fill="auto"/>
            <w:tcMar>
              <w:top w:w="100" w:type="dxa"/>
              <w:left w:w="100" w:type="dxa"/>
              <w:bottom w:w="100" w:type="dxa"/>
              <w:right w:w="100" w:type="dxa"/>
            </w:tcMar>
          </w:tcPr>
          <w:p w14:paraId="73BCC714" w14:textId="77777777" w:rsidR="008E172B" w:rsidRDefault="00696560">
            <w:pPr>
              <w:widowControl w:val="0"/>
              <w:pBdr>
                <w:top w:val="nil"/>
                <w:left w:val="nil"/>
                <w:bottom w:val="nil"/>
                <w:right w:val="nil"/>
                <w:between w:val="nil"/>
              </w:pBdr>
              <w:spacing w:after="0" w:line="240" w:lineRule="auto"/>
            </w:pPr>
            <w:r>
              <w:t>ENVRI level</w:t>
            </w:r>
          </w:p>
        </w:tc>
        <w:tc>
          <w:tcPr>
            <w:tcW w:w="2340" w:type="dxa"/>
            <w:shd w:val="clear" w:color="auto" w:fill="auto"/>
            <w:tcMar>
              <w:top w:w="100" w:type="dxa"/>
              <w:left w:w="100" w:type="dxa"/>
              <w:bottom w:w="100" w:type="dxa"/>
              <w:right w:w="100" w:type="dxa"/>
            </w:tcMar>
          </w:tcPr>
          <w:p w14:paraId="2C2E4B98" w14:textId="77777777" w:rsidR="008E172B" w:rsidRDefault="00696560">
            <w:pPr>
              <w:widowControl w:val="0"/>
              <w:pBdr>
                <w:top w:val="nil"/>
                <w:left w:val="nil"/>
                <w:bottom w:val="nil"/>
                <w:right w:val="nil"/>
                <w:between w:val="nil"/>
              </w:pBdr>
              <w:spacing w:after="0" w:line="240" w:lineRule="auto"/>
            </w:pPr>
            <w:r>
              <w:t xml:space="preserve">Subdomain level </w:t>
            </w:r>
          </w:p>
        </w:tc>
        <w:tc>
          <w:tcPr>
            <w:tcW w:w="2340" w:type="dxa"/>
            <w:shd w:val="clear" w:color="auto" w:fill="auto"/>
            <w:tcMar>
              <w:top w:w="100" w:type="dxa"/>
              <w:left w:w="100" w:type="dxa"/>
              <w:bottom w:w="100" w:type="dxa"/>
              <w:right w:w="100" w:type="dxa"/>
            </w:tcMar>
          </w:tcPr>
          <w:p w14:paraId="0716CD7B" w14:textId="77777777" w:rsidR="008E172B" w:rsidRDefault="00696560">
            <w:pPr>
              <w:widowControl w:val="0"/>
              <w:pBdr>
                <w:top w:val="nil"/>
                <w:left w:val="nil"/>
                <w:bottom w:val="nil"/>
                <w:right w:val="nil"/>
                <w:between w:val="nil"/>
              </w:pBdr>
              <w:spacing w:after="0" w:line="240" w:lineRule="auto"/>
            </w:pPr>
            <w:r>
              <w:t>RIs use case when needed</w:t>
            </w:r>
          </w:p>
        </w:tc>
      </w:tr>
      <w:tr w:rsidR="008E172B" w14:paraId="0D523334" w14:textId="77777777">
        <w:tc>
          <w:tcPr>
            <w:tcW w:w="2340" w:type="dxa"/>
            <w:shd w:val="clear" w:color="auto" w:fill="auto"/>
            <w:tcMar>
              <w:top w:w="100" w:type="dxa"/>
              <w:left w:w="100" w:type="dxa"/>
              <w:bottom w:w="100" w:type="dxa"/>
              <w:right w:w="100" w:type="dxa"/>
            </w:tcMar>
          </w:tcPr>
          <w:p w14:paraId="6C2FF6C4" w14:textId="77777777" w:rsidR="008E172B" w:rsidRDefault="00696560">
            <w:pPr>
              <w:widowControl w:val="0"/>
              <w:pBdr>
                <w:top w:val="nil"/>
                <w:left w:val="nil"/>
                <w:bottom w:val="nil"/>
                <w:right w:val="nil"/>
                <w:between w:val="nil"/>
              </w:pBdr>
              <w:spacing w:after="0" w:line="240" w:lineRule="auto"/>
            </w:pPr>
            <w:r>
              <w:t xml:space="preserve">Topic 1 </w:t>
            </w:r>
          </w:p>
        </w:tc>
        <w:tc>
          <w:tcPr>
            <w:tcW w:w="2340" w:type="dxa"/>
            <w:shd w:val="clear" w:color="auto" w:fill="auto"/>
            <w:tcMar>
              <w:top w:w="100" w:type="dxa"/>
              <w:left w:w="100" w:type="dxa"/>
              <w:bottom w:w="100" w:type="dxa"/>
              <w:right w:w="100" w:type="dxa"/>
            </w:tcMar>
          </w:tcPr>
          <w:p w14:paraId="18329BEA" w14:textId="469D704F" w:rsidR="008E172B" w:rsidRDefault="008E172B">
            <w:pPr>
              <w:widowControl w:val="0"/>
              <w:pBdr>
                <w:top w:val="nil"/>
                <w:left w:val="nil"/>
                <w:bottom w:val="nil"/>
                <w:right w:val="nil"/>
                <w:between w:val="nil"/>
              </w:pBdr>
              <w:spacing w:after="0" w:line="240" w:lineRule="auto"/>
              <w:rPr>
                <w:b/>
              </w:rPr>
            </w:pPr>
          </w:p>
        </w:tc>
        <w:tc>
          <w:tcPr>
            <w:tcW w:w="2340" w:type="dxa"/>
            <w:shd w:val="clear" w:color="auto" w:fill="auto"/>
            <w:tcMar>
              <w:top w:w="100" w:type="dxa"/>
              <w:left w:w="100" w:type="dxa"/>
              <w:bottom w:w="100" w:type="dxa"/>
              <w:right w:w="100" w:type="dxa"/>
            </w:tcMar>
          </w:tcPr>
          <w:p w14:paraId="5FE732D1" w14:textId="20FA8A6E" w:rsidR="00F5368E" w:rsidRDefault="00F5368E" w:rsidP="00561A31">
            <w:pPr>
              <w:widowControl w:val="0"/>
              <w:spacing w:after="0" w:line="240" w:lineRule="auto"/>
              <w:rPr>
                <w:b/>
              </w:rPr>
            </w:pPr>
          </w:p>
        </w:tc>
        <w:tc>
          <w:tcPr>
            <w:tcW w:w="2340" w:type="dxa"/>
            <w:shd w:val="clear" w:color="auto" w:fill="auto"/>
            <w:tcMar>
              <w:top w:w="100" w:type="dxa"/>
              <w:left w:w="100" w:type="dxa"/>
              <w:bottom w:w="100" w:type="dxa"/>
              <w:right w:w="100" w:type="dxa"/>
            </w:tcMar>
          </w:tcPr>
          <w:p w14:paraId="4AB7EED5" w14:textId="77777777" w:rsidR="008E172B" w:rsidRDefault="008E172B" w:rsidP="00F5368E">
            <w:pPr>
              <w:widowControl w:val="0"/>
              <w:spacing w:after="0" w:line="240" w:lineRule="auto"/>
              <w:rPr>
                <w:b/>
              </w:rPr>
            </w:pPr>
          </w:p>
        </w:tc>
      </w:tr>
      <w:tr w:rsidR="008E172B" w14:paraId="0F634DA6" w14:textId="77777777">
        <w:tc>
          <w:tcPr>
            <w:tcW w:w="2340" w:type="dxa"/>
            <w:shd w:val="clear" w:color="auto" w:fill="auto"/>
            <w:tcMar>
              <w:top w:w="100" w:type="dxa"/>
              <w:left w:w="100" w:type="dxa"/>
              <w:bottom w:w="100" w:type="dxa"/>
              <w:right w:w="100" w:type="dxa"/>
            </w:tcMar>
          </w:tcPr>
          <w:p w14:paraId="258312DB" w14:textId="77777777" w:rsidR="008E172B" w:rsidRDefault="00696560">
            <w:pPr>
              <w:widowControl w:val="0"/>
              <w:pBdr>
                <w:top w:val="nil"/>
                <w:left w:val="nil"/>
                <w:bottom w:val="nil"/>
                <w:right w:val="nil"/>
                <w:between w:val="nil"/>
              </w:pBdr>
              <w:spacing w:after="0" w:line="240" w:lineRule="auto"/>
            </w:pPr>
            <w:r>
              <w:t>Topic 2</w:t>
            </w:r>
          </w:p>
        </w:tc>
        <w:tc>
          <w:tcPr>
            <w:tcW w:w="2340" w:type="dxa"/>
            <w:shd w:val="clear" w:color="auto" w:fill="auto"/>
            <w:tcMar>
              <w:top w:w="100" w:type="dxa"/>
              <w:left w:w="100" w:type="dxa"/>
              <w:bottom w:w="100" w:type="dxa"/>
              <w:right w:w="100" w:type="dxa"/>
            </w:tcMar>
          </w:tcPr>
          <w:p w14:paraId="605D3646" w14:textId="585B98C3" w:rsidR="008E172B" w:rsidRDefault="008E172B">
            <w:pPr>
              <w:widowControl w:val="0"/>
              <w:pBdr>
                <w:top w:val="nil"/>
                <w:left w:val="nil"/>
                <w:bottom w:val="nil"/>
                <w:right w:val="nil"/>
                <w:between w:val="nil"/>
              </w:pBdr>
              <w:spacing w:after="0" w:line="240" w:lineRule="auto"/>
              <w:rPr>
                <w:b/>
              </w:rPr>
            </w:pPr>
          </w:p>
        </w:tc>
        <w:tc>
          <w:tcPr>
            <w:tcW w:w="2340" w:type="dxa"/>
            <w:shd w:val="clear" w:color="auto" w:fill="auto"/>
            <w:tcMar>
              <w:top w:w="100" w:type="dxa"/>
              <w:left w:w="100" w:type="dxa"/>
              <w:bottom w:w="100" w:type="dxa"/>
              <w:right w:w="100" w:type="dxa"/>
            </w:tcMar>
          </w:tcPr>
          <w:p w14:paraId="72F80826" w14:textId="20EA5214" w:rsidR="008E172B" w:rsidRDefault="008E172B" w:rsidP="00F5368E">
            <w:pPr>
              <w:widowControl w:val="0"/>
              <w:pBdr>
                <w:top w:val="nil"/>
                <w:left w:val="nil"/>
                <w:bottom w:val="nil"/>
                <w:right w:val="nil"/>
                <w:between w:val="nil"/>
              </w:pBdr>
              <w:spacing w:after="0" w:line="240" w:lineRule="auto"/>
            </w:pPr>
          </w:p>
        </w:tc>
        <w:tc>
          <w:tcPr>
            <w:tcW w:w="2340" w:type="dxa"/>
            <w:shd w:val="clear" w:color="auto" w:fill="auto"/>
            <w:tcMar>
              <w:top w:w="100" w:type="dxa"/>
              <w:left w:w="100" w:type="dxa"/>
              <w:bottom w:w="100" w:type="dxa"/>
              <w:right w:w="100" w:type="dxa"/>
            </w:tcMar>
          </w:tcPr>
          <w:p w14:paraId="305D8926" w14:textId="77777777" w:rsidR="008E172B" w:rsidRDefault="008E172B">
            <w:pPr>
              <w:widowControl w:val="0"/>
              <w:pBdr>
                <w:top w:val="nil"/>
                <w:left w:val="nil"/>
                <w:bottom w:val="nil"/>
                <w:right w:val="nil"/>
                <w:between w:val="nil"/>
              </w:pBdr>
              <w:spacing w:after="0" w:line="240" w:lineRule="auto"/>
            </w:pPr>
          </w:p>
        </w:tc>
      </w:tr>
      <w:tr w:rsidR="008E172B" w14:paraId="2B163F19" w14:textId="77777777">
        <w:tc>
          <w:tcPr>
            <w:tcW w:w="2340" w:type="dxa"/>
            <w:shd w:val="clear" w:color="auto" w:fill="auto"/>
            <w:tcMar>
              <w:top w:w="100" w:type="dxa"/>
              <w:left w:w="100" w:type="dxa"/>
              <w:bottom w:w="100" w:type="dxa"/>
              <w:right w:w="100" w:type="dxa"/>
            </w:tcMar>
          </w:tcPr>
          <w:p w14:paraId="6FA6A0C9" w14:textId="77777777" w:rsidR="008E172B" w:rsidRDefault="00696560">
            <w:pPr>
              <w:widowControl w:val="0"/>
              <w:pBdr>
                <w:top w:val="nil"/>
                <w:left w:val="nil"/>
                <w:bottom w:val="nil"/>
                <w:right w:val="nil"/>
                <w:between w:val="nil"/>
              </w:pBdr>
              <w:spacing w:after="0" w:line="240" w:lineRule="auto"/>
            </w:pPr>
            <w:r>
              <w:t>Topic 3</w:t>
            </w:r>
          </w:p>
        </w:tc>
        <w:tc>
          <w:tcPr>
            <w:tcW w:w="2340" w:type="dxa"/>
            <w:shd w:val="clear" w:color="auto" w:fill="auto"/>
            <w:tcMar>
              <w:top w:w="100" w:type="dxa"/>
              <w:left w:w="100" w:type="dxa"/>
              <w:bottom w:w="100" w:type="dxa"/>
              <w:right w:w="100" w:type="dxa"/>
            </w:tcMar>
          </w:tcPr>
          <w:p w14:paraId="375B7208" w14:textId="2362772A" w:rsidR="008E172B" w:rsidRDefault="008E172B">
            <w:pPr>
              <w:widowControl w:val="0"/>
              <w:numPr>
                <w:ilvl w:val="0"/>
                <w:numId w:val="10"/>
              </w:numPr>
              <w:pBdr>
                <w:top w:val="nil"/>
                <w:left w:val="nil"/>
                <w:bottom w:val="nil"/>
                <w:right w:val="nil"/>
                <w:between w:val="nil"/>
              </w:pBdr>
              <w:spacing w:after="0" w:line="240" w:lineRule="auto"/>
            </w:pPr>
          </w:p>
        </w:tc>
        <w:tc>
          <w:tcPr>
            <w:tcW w:w="2340" w:type="dxa"/>
            <w:shd w:val="clear" w:color="auto" w:fill="auto"/>
            <w:tcMar>
              <w:top w:w="100" w:type="dxa"/>
              <w:left w:w="100" w:type="dxa"/>
              <w:bottom w:w="100" w:type="dxa"/>
              <w:right w:w="100" w:type="dxa"/>
            </w:tcMar>
          </w:tcPr>
          <w:p w14:paraId="4A326570" w14:textId="4D006654" w:rsidR="008E172B" w:rsidRDefault="008E172B" w:rsidP="00F5368E">
            <w:pPr>
              <w:widowControl w:val="0"/>
              <w:pBdr>
                <w:top w:val="nil"/>
                <w:left w:val="nil"/>
                <w:bottom w:val="nil"/>
                <w:right w:val="nil"/>
                <w:between w:val="nil"/>
              </w:pBdr>
              <w:spacing w:after="0" w:line="240" w:lineRule="auto"/>
            </w:pPr>
          </w:p>
        </w:tc>
        <w:tc>
          <w:tcPr>
            <w:tcW w:w="2340" w:type="dxa"/>
            <w:shd w:val="clear" w:color="auto" w:fill="auto"/>
            <w:tcMar>
              <w:top w:w="100" w:type="dxa"/>
              <w:left w:w="100" w:type="dxa"/>
              <w:bottom w:w="100" w:type="dxa"/>
              <w:right w:w="100" w:type="dxa"/>
            </w:tcMar>
          </w:tcPr>
          <w:p w14:paraId="0A6A4CF0" w14:textId="77777777" w:rsidR="008E172B" w:rsidRDefault="008E172B">
            <w:pPr>
              <w:widowControl w:val="0"/>
              <w:pBdr>
                <w:top w:val="nil"/>
                <w:left w:val="nil"/>
                <w:bottom w:val="nil"/>
                <w:right w:val="nil"/>
                <w:between w:val="nil"/>
              </w:pBdr>
              <w:spacing w:after="0" w:line="240" w:lineRule="auto"/>
            </w:pPr>
          </w:p>
        </w:tc>
      </w:tr>
    </w:tbl>
    <w:p w14:paraId="1991FEFE" w14:textId="77777777" w:rsidR="008E172B" w:rsidRDefault="008E172B">
      <w:bookmarkStart w:id="5" w:name="_GoBack"/>
      <w:bookmarkEnd w:id="5"/>
    </w:p>
    <w:p w14:paraId="10F009E7" w14:textId="77777777" w:rsidR="008E172B" w:rsidRDefault="008E172B"/>
    <w:tbl>
      <w:tblPr>
        <w:tblStyle w:val="a6"/>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6"/>
        <w:gridCol w:w="4404"/>
      </w:tblGrid>
      <w:tr w:rsidR="008E172B" w14:paraId="3C4BC868" w14:textId="77777777">
        <w:tc>
          <w:tcPr>
            <w:tcW w:w="9350" w:type="dxa"/>
            <w:gridSpan w:val="2"/>
            <w:shd w:val="clear" w:color="auto" w:fill="BFBFBF"/>
          </w:tcPr>
          <w:p w14:paraId="63B89C29" w14:textId="77777777" w:rsidR="008E172B" w:rsidRDefault="00696560">
            <w:pPr>
              <w:jc w:val="center"/>
              <w:rPr>
                <w:color w:val="274E13"/>
              </w:rPr>
            </w:pPr>
            <w:r>
              <w:rPr>
                <w:color w:val="274E13"/>
              </w:rPr>
              <w:t>Potential PROJECT Structure</w:t>
            </w:r>
          </w:p>
        </w:tc>
      </w:tr>
      <w:tr w:rsidR="008E172B" w14:paraId="440A8191" w14:textId="77777777">
        <w:tc>
          <w:tcPr>
            <w:tcW w:w="4946" w:type="dxa"/>
            <w:tcBorders>
              <w:bottom w:val="single" w:sz="4" w:space="0" w:color="000000"/>
            </w:tcBorders>
            <w:shd w:val="clear" w:color="auto" w:fill="D9D9D9"/>
          </w:tcPr>
          <w:p w14:paraId="42540CC1" w14:textId="77777777" w:rsidR="008E172B" w:rsidRDefault="00696560">
            <w:pPr>
              <w:jc w:val="center"/>
              <w:rPr>
                <w:color w:val="274E13"/>
              </w:rPr>
            </w:pPr>
            <w:r>
              <w:rPr>
                <w:color w:val="274E13"/>
              </w:rPr>
              <w:t>Duration</w:t>
            </w:r>
          </w:p>
        </w:tc>
        <w:tc>
          <w:tcPr>
            <w:tcW w:w="4404" w:type="dxa"/>
            <w:shd w:val="clear" w:color="auto" w:fill="FFFFFF"/>
          </w:tcPr>
          <w:p w14:paraId="2D7A3330" w14:textId="77777777" w:rsidR="008E172B" w:rsidRDefault="00696560">
            <w:pPr>
              <w:jc w:val="center"/>
            </w:pPr>
            <w:r>
              <w:t>30M (max36M)</w:t>
            </w:r>
          </w:p>
        </w:tc>
      </w:tr>
      <w:tr w:rsidR="008E172B" w14:paraId="71B4B1C4" w14:textId="77777777">
        <w:tc>
          <w:tcPr>
            <w:tcW w:w="4946" w:type="dxa"/>
            <w:shd w:val="clear" w:color="auto" w:fill="D9D9D9"/>
          </w:tcPr>
          <w:p w14:paraId="62197C4D" w14:textId="77777777" w:rsidR="008E172B" w:rsidRDefault="00696560">
            <w:pPr>
              <w:jc w:val="center"/>
              <w:rPr>
                <w:color w:val="274E13"/>
              </w:rPr>
            </w:pPr>
            <w:r>
              <w:rPr>
                <w:color w:val="274E13"/>
              </w:rPr>
              <w:t>C</w:t>
            </w:r>
            <w:r>
              <w:rPr>
                <w:color w:val="274E13"/>
              </w:rPr>
              <w:t>onsortium partners</w:t>
            </w:r>
          </w:p>
        </w:tc>
        <w:tc>
          <w:tcPr>
            <w:tcW w:w="4404" w:type="dxa"/>
          </w:tcPr>
          <w:p w14:paraId="06C29401" w14:textId="77777777" w:rsidR="008E172B" w:rsidRDefault="00696560">
            <w:r>
              <w:t>ENVRI MARINE Domain (tbc)</w:t>
            </w:r>
          </w:p>
        </w:tc>
      </w:tr>
      <w:tr w:rsidR="008E172B" w14:paraId="43849EBC" w14:textId="77777777">
        <w:tc>
          <w:tcPr>
            <w:tcW w:w="4946" w:type="dxa"/>
            <w:shd w:val="clear" w:color="auto" w:fill="D9D9D9"/>
          </w:tcPr>
          <w:p w14:paraId="3C14B061" w14:textId="77777777" w:rsidR="008E172B" w:rsidRDefault="00696560">
            <w:pPr>
              <w:jc w:val="center"/>
              <w:rPr>
                <w:color w:val="274E13"/>
              </w:rPr>
            </w:pPr>
            <w:r>
              <w:rPr>
                <w:color w:val="274E13"/>
              </w:rPr>
              <w:t>Link with the strategic plan</w:t>
            </w:r>
          </w:p>
        </w:tc>
        <w:tc>
          <w:tcPr>
            <w:tcW w:w="4404" w:type="dxa"/>
          </w:tcPr>
          <w:p w14:paraId="00BF3C9A" w14:textId="77777777" w:rsidR="008E172B" w:rsidRDefault="008E172B">
            <w:pPr>
              <w:jc w:val="both"/>
              <w:rPr>
                <w:sz w:val="18"/>
                <w:szCs w:val="18"/>
              </w:rPr>
            </w:pPr>
          </w:p>
        </w:tc>
      </w:tr>
    </w:tbl>
    <w:p w14:paraId="51CA7461" w14:textId="77777777" w:rsidR="008E172B" w:rsidRDefault="008E172B"/>
    <w:tbl>
      <w:tblPr>
        <w:tblStyle w:val="a7"/>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5"/>
        <w:gridCol w:w="4575"/>
        <w:gridCol w:w="2865"/>
      </w:tblGrid>
      <w:tr w:rsidR="008E172B" w14:paraId="32073C93" w14:textId="77777777">
        <w:tc>
          <w:tcPr>
            <w:tcW w:w="1905" w:type="dxa"/>
            <w:shd w:val="clear" w:color="auto" w:fill="D9D9D9"/>
          </w:tcPr>
          <w:p w14:paraId="5EDF89A0" w14:textId="77777777" w:rsidR="008E172B" w:rsidRDefault="00696560">
            <w:pPr>
              <w:jc w:val="center"/>
              <w:rPr>
                <w:color w:val="274E13"/>
              </w:rPr>
            </w:pPr>
            <w:r>
              <w:rPr>
                <w:color w:val="274E13"/>
              </w:rPr>
              <w:t>WP (N. XXX, Title XXX)</w:t>
            </w:r>
          </w:p>
        </w:tc>
        <w:tc>
          <w:tcPr>
            <w:tcW w:w="4575" w:type="dxa"/>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40AF978A" w14:textId="77777777" w:rsidR="008E172B" w:rsidRDefault="00696560">
            <w:pPr>
              <w:spacing w:after="240"/>
              <w:rPr>
                <w:color w:val="274E13"/>
              </w:rPr>
            </w:pPr>
            <w:r>
              <w:rPr>
                <w:color w:val="274E13"/>
              </w:rPr>
              <w:t>Main Activities</w:t>
            </w:r>
          </w:p>
        </w:tc>
        <w:tc>
          <w:tcPr>
            <w:tcW w:w="2865" w:type="dxa"/>
            <w:tcBorders>
              <w:top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2B556FDC" w14:textId="77777777" w:rsidR="008E172B" w:rsidRDefault="00696560">
            <w:pPr>
              <w:spacing w:after="240"/>
              <w:jc w:val="center"/>
              <w:rPr>
                <w:color w:val="274E13"/>
              </w:rPr>
            </w:pPr>
            <w:r>
              <w:rPr>
                <w:color w:val="274E13"/>
              </w:rPr>
              <w:t>Main deliverables</w:t>
            </w:r>
          </w:p>
          <w:p w14:paraId="07B125E3" w14:textId="77777777" w:rsidR="008E172B" w:rsidRDefault="00696560">
            <w:pPr>
              <w:spacing w:line="276" w:lineRule="auto"/>
              <w:jc w:val="center"/>
              <w:rPr>
                <w:color w:val="274E13"/>
              </w:rPr>
            </w:pPr>
            <w:r>
              <w:rPr>
                <w:color w:val="274E13"/>
              </w:rPr>
              <w:t xml:space="preserve"> </w:t>
            </w:r>
          </w:p>
        </w:tc>
      </w:tr>
      <w:tr w:rsidR="008E172B" w14:paraId="283B8040" w14:textId="77777777">
        <w:tc>
          <w:tcPr>
            <w:tcW w:w="1905" w:type="dxa"/>
          </w:tcPr>
          <w:p w14:paraId="5AAB9557" w14:textId="77777777" w:rsidR="008E172B" w:rsidRDefault="00696560">
            <w:pPr>
              <w:jc w:val="both"/>
              <w:rPr>
                <w:sz w:val="20"/>
                <w:szCs w:val="20"/>
              </w:rPr>
            </w:pPr>
            <w:r>
              <w:rPr>
                <w:sz w:val="20"/>
                <w:szCs w:val="20"/>
              </w:rPr>
              <w:t>WP1,2 Coordination and Management</w:t>
            </w:r>
          </w:p>
        </w:tc>
        <w:tc>
          <w:tcPr>
            <w:tcW w:w="4575" w:type="dxa"/>
          </w:tcPr>
          <w:p w14:paraId="038CFE74" w14:textId="77777777" w:rsidR="008E172B" w:rsidRDefault="00696560">
            <w:pPr>
              <w:ind w:left="283"/>
              <w:jc w:val="both"/>
              <w:rPr>
                <w:sz w:val="20"/>
                <w:szCs w:val="20"/>
              </w:rPr>
            </w:pPr>
            <w:r>
              <w:rPr>
                <w:sz w:val="20"/>
                <w:szCs w:val="20"/>
              </w:rPr>
              <w:t>MGT</w:t>
            </w:r>
          </w:p>
          <w:p w14:paraId="530A656E" w14:textId="77777777" w:rsidR="008E172B" w:rsidRDefault="00696560">
            <w:pPr>
              <w:ind w:left="283"/>
              <w:jc w:val="both"/>
              <w:rPr>
                <w:sz w:val="20"/>
                <w:szCs w:val="20"/>
              </w:rPr>
            </w:pPr>
            <w:r>
              <w:rPr>
                <w:sz w:val="20"/>
                <w:szCs w:val="20"/>
              </w:rPr>
              <w:t>Project management and coordination?</w:t>
            </w:r>
          </w:p>
          <w:p w14:paraId="50E21D21" w14:textId="13824726" w:rsidR="008E172B" w:rsidRDefault="00873E1C" w:rsidP="00BB7DC7">
            <w:pPr>
              <w:spacing w:before="240" w:after="240"/>
              <w:rPr>
                <w:sz w:val="20"/>
                <w:szCs w:val="20"/>
              </w:rPr>
            </w:pPr>
            <w:r>
              <w:rPr>
                <w:sz w:val="20"/>
                <w:szCs w:val="20"/>
              </w:rPr>
              <w:t>Publish articles and reports on project activities and achievements.</w:t>
            </w:r>
          </w:p>
        </w:tc>
        <w:tc>
          <w:tcPr>
            <w:tcW w:w="2865" w:type="dxa"/>
          </w:tcPr>
          <w:p w14:paraId="0D84519C" w14:textId="77777777" w:rsidR="008E172B" w:rsidRDefault="008E172B">
            <w:pPr>
              <w:jc w:val="both"/>
              <w:rPr>
                <w:sz w:val="20"/>
                <w:szCs w:val="20"/>
              </w:rPr>
            </w:pPr>
          </w:p>
        </w:tc>
      </w:tr>
      <w:tr w:rsidR="008E172B" w14:paraId="41F75058" w14:textId="77777777">
        <w:tc>
          <w:tcPr>
            <w:tcW w:w="1905" w:type="dxa"/>
          </w:tcPr>
          <w:p w14:paraId="0DB3E208" w14:textId="77777777" w:rsidR="008E172B" w:rsidRDefault="00696560">
            <w:pPr>
              <w:jc w:val="both"/>
              <w:rPr>
                <w:sz w:val="20"/>
                <w:szCs w:val="20"/>
              </w:rPr>
            </w:pPr>
            <w:r>
              <w:rPr>
                <w:sz w:val="20"/>
                <w:szCs w:val="20"/>
              </w:rPr>
              <w:t>WP3,4 TRAINING</w:t>
            </w:r>
          </w:p>
        </w:tc>
        <w:tc>
          <w:tcPr>
            <w:tcW w:w="4575" w:type="dxa"/>
          </w:tcPr>
          <w:p w14:paraId="2EFAAEE9" w14:textId="2633B7EA" w:rsidR="008E172B" w:rsidRDefault="00696560" w:rsidP="00BB7DC7">
            <w:pPr>
              <w:ind w:left="425" w:hanging="120"/>
              <w:jc w:val="both"/>
              <w:rPr>
                <w:sz w:val="20"/>
                <w:szCs w:val="20"/>
              </w:rPr>
            </w:pPr>
            <w:r>
              <w:rPr>
                <w:sz w:val="20"/>
                <w:szCs w:val="20"/>
              </w:rPr>
              <w:t>TRAINING</w:t>
            </w:r>
          </w:p>
          <w:p w14:paraId="29235092" w14:textId="77777777" w:rsidR="00BB7DC7" w:rsidRDefault="00BB7DC7" w:rsidP="00BB7DC7">
            <w:pPr>
              <w:ind w:left="425" w:hanging="120"/>
              <w:jc w:val="both"/>
              <w:rPr>
                <w:sz w:val="20"/>
                <w:szCs w:val="20"/>
              </w:rPr>
            </w:pPr>
          </w:p>
          <w:p w14:paraId="6214F04B" w14:textId="77777777" w:rsidR="008E172B" w:rsidRDefault="00696560">
            <w:pPr>
              <w:spacing w:after="160" w:line="256" w:lineRule="auto"/>
              <w:ind w:left="420" w:hanging="278"/>
              <w:jc w:val="both"/>
              <w:rPr>
                <w:sz w:val="20"/>
                <w:szCs w:val="20"/>
              </w:rPr>
            </w:pPr>
            <w:r>
              <w:rPr>
                <w:sz w:val="20"/>
                <w:szCs w:val="20"/>
              </w:rPr>
              <w:t>Task 3-4.1: Training programme: design and implementation</w:t>
            </w:r>
          </w:p>
          <w:p w14:paraId="27FB07DE" w14:textId="4AD6AC3B" w:rsidR="008E172B" w:rsidRDefault="00696560" w:rsidP="00BB7DC7">
            <w:pPr>
              <w:spacing w:before="240" w:after="240" w:line="256" w:lineRule="auto"/>
              <w:rPr>
                <w:sz w:val="20"/>
                <w:szCs w:val="20"/>
              </w:rPr>
            </w:pPr>
            <w:r>
              <w:rPr>
                <w:sz w:val="20"/>
                <w:szCs w:val="20"/>
              </w:rPr>
              <w:t>Tasks 3-4.2 : Training operation and sustainability</w:t>
            </w:r>
          </w:p>
        </w:tc>
        <w:tc>
          <w:tcPr>
            <w:tcW w:w="2865" w:type="dxa"/>
          </w:tcPr>
          <w:p w14:paraId="646997F4" w14:textId="77777777" w:rsidR="008E172B" w:rsidRDefault="00696560">
            <w:pPr>
              <w:jc w:val="both"/>
              <w:rPr>
                <w:sz w:val="20"/>
                <w:szCs w:val="20"/>
              </w:rPr>
            </w:pPr>
            <w:r>
              <w:rPr>
                <w:sz w:val="20"/>
                <w:szCs w:val="20"/>
              </w:rPr>
              <w:t>n</w:t>
            </w:r>
            <w:r>
              <w:rPr>
                <w:sz w:val="20"/>
                <w:szCs w:val="20"/>
              </w:rPr>
              <w:t>ew training programmes,</w:t>
            </w:r>
            <w:r>
              <w:rPr>
                <w:sz w:val="20"/>
                <w:szCs w:val="20"/>
              </w:rPr>
              <w:t xml:space="preserve"> training services </w:t>
            </w:r>
          </w:p>
        </w:tc>
      </w:tr>
      <w:tr w:rsidR="008E172B" w14:paraId="2AF166DD" w14:textId="77777777">
        <w:tc>
          <w:tcPr>
            <w:tcW w:w="1905" w:type="dxa"/>
          </w:tcPr>
          <w:p w14:paraId="47D21E9A" w14:textId="77777777" w:rsidR="008E172B" w:rsidRDefault="00696560">
            <w:pPr>
              <w:jc w:val="both"/>
              <w:rPr>
                <w:sz w:val="20"/>
                <w:szCs w:val="20"/>
              </w:rPr>
            </w:pPr>
            <w:r>
              <w:rPr>
                <w:sz w:val="20"/>
                <w:szCs w:val="20"/>
              </w:rPr>
              <w:t>WP5,6</w:t>
            </w:r>
          </w:p>
        </w:tc>
        <w:tc>
          <w:tcPr>
            <w:tcW w:w="4575" w:type="dxa"/>
          </w:tcPr>
          <w:p w14:paraId="62ECE398" w14:textId="77777777" w:rsidR="008E172B" w:rsidRDefault="00696560">
            <w:pPr>
              <w:pBdr>
                <w:top w:val="nil"/>
                <w:left w:val="nil"/>
                <w:bottom w:val="nil"/>
                <w:right w:val="nil"/>
                <w:between w:val="nil"/>
              </w:pBdr>
              <w:ind w:left="283"/>
              <w:jc w:val="both"/>
              <w:rPr>
                <w:sz w:val="20"/>
                <w:szCs w:val="20"/>
              </w:rPr>
            </w:pPr>
            <w:r>
              <w:rPr>
                <w:sz w:val="20"/>
                <w:szCs w:val="20"/>
              </w:rPr>
              <w:t>MOBILITY &amp; CAREER OPPORTUNITIES</w:t>
            </w:r>
          </w:p>
          <w:p w14:paraId="34E41C68" w14:textId="77777777" w:rsidR="008E172B" w:rsidRDefault="008E172B">
            <w:pPr>
              <w:pBdr>
                <w:top w:val="nil"/>
                <w:left w:val="nil"/>
                <w:bottom w:val="nil"/>
                <w:right w:val="nil"/>
                <w:between w:val="nil"/>
              </w:pBdr>
              <w:ind w:left="283"/>
              <w:jc w:val="both"/>
              <w:rPr>
                <w:sz w:val="20"/>
                <w:szCs w:val="20"/>
              </w:rPr>
            </w:pPr>
          </w:p>
          <w:p w14:paraId="2E22819F" w14:textId="77777777" w:rsidR="008E172B" w:rsidRDefault="00696560">
            <w:pPr>
              <w:spacing w:after="160" w:line="256" w:lineRule="auto"/>
              <w:ind w:left="540" w:hanging="120"/>
              <w:jc w:val="both"/>
              <w:rPr>
                <w:sz w:val="20"/>
                <w:szCs w:val="20"/>
              </w:rPr>
            </w:pPr>
            <w:r>
              <w:rPr>
                <w:sz w:val="20"/>
                <w:szCs w:val="20"/>
              </w:rPr>
              <w:t>Task 5-6.1: Mobility programme: design and implementation</w:t>
            </w:r>
          </w:p>
          <w:p w14:paraId="361F05A5" w14:textId="666F5967" w:rsidR="008E172B" w:rsidRDefault="00696560" w:rsidP="00873E1C">
            <w:pPr>
              <w:spacing w:after="160" w:line="256" w:lineRule="auto"/>
              <w:ind w:left="540" w:hanging="120"/>
              <w:jc w:val="both"/>
              <w:rPr>
                <w:sz w:val="20"/>
                <w:szCs w:val="20"/>
              </w:rPr>
            </w:pPr>
            <w:r>
              <w:rPr>
                <w:sz w:val="20"/>
                <w:szCs w:val="20"/>
              </w:rPr>
              <w:t>Task 5-6.2: Mobility operation</w:t>
            </w:r>
          </w:p>
        </w:tc>
        <w:tc>
          <w:tcPr>
            <w:tcW w:w="2865" w:type="dxa"/>
          </w:tcPr>
          <w:p w14:paraId="5F285FD5" w14:textId="77777777" w:rsidR="008E172B" w:rsidRDefault="00696560">
            <w:pPr>
              <w:jc w:val="both"/>
              <w:rPr>
                <w:sz w:val="20"/>
                <w:szCs w:val="20"/>
              </w:rPr>
            </w:pPr>
            <w:r>
              <w:rPr>
                <w:sz w:val="20"/>
                <w:szCs w:val="20"/>
              </w:rPr>
              <w:t>staff exchange, summer schools, workshops</w:t>
            </w:r>
          </w:p>
        </w:tc>
      </w:tr>
      <w:tr w:rsidR="008E172B" w14:paraId="102516DA" w14:textId="77777777">
        <w:tc>
          <w:tcPr>
            <w:tcW w:w="1905" w:type="dxa"/>
          </w:tcPr>
          <w:p w14:paraId="0A040920" w14:textId="77777777" w:rsidR="008E172B" w:rsidRDefault="00696560">
            <w:pPr>
              <w:jc w:val="both"/>
              <w:rPr>
                <w:sz w:val="20"/>
                <w:szCs w:val="20"/>
              </w:rPr>
            </w:pPr>
            <w:r>
              <w:rPr>
                <w:sz w:val="20"/>
                <w:szCs w:val="20"/>
              </w:rPr>
              <w:t>WP7,8</w:t>
            </w:r>
          </w:p>
        </w:tc>
        <w:tc>
          <w:tcPr>
            <w:tcW w:w="4575" w:type="dxa"/>
          </w:tcPr>
          <w:p w14:paraId="03068A69" w14:textId="511A864B" w:rsidR="008E172B" w:rsidRDefault="00BB7DC7" w:rsidP="00561A31">
            <w:pPr>
              <w:jc w:val="both"/>
              <w:rPr>
                <w:sz w:val="20"/>
                <w:szCs w:val="20"/>
              </w:rPr>
            </w:pPr>
            <w:r>
              <w:rPr>
                <w:sz w:val="20"/>
                <w:szCs w:val="20"/>
              </w:rPr>
              <w:t>DISSEMINATION</w:t>
            </w:r>
          </w:p>
        </w:tc>
        <w:tc>
          <w:tcPr>
            <w:tcW w:w="2865" w:type="dxa"/>
          </w:tcPr>
          <w:p w14:paraId="2CF8A09B" w14:textId="77777777" w:rsidR="008E172B" w:rsidRDefault="00696560">
            <w:pPr>
              <w:ind w:left="283"/>
              <w:rPr>
                <w:sz w:val="24"/>
                <w:szCs w:val="24"/>
              </w:rPr>
            </w:pPr>
            <w:r>
              <w:rPr>
                <w:sz w:val="20"/>
                <w:szCs w:val="20"/>
              </w:rPr>
              <w:t xml:space="preserve">(connection with international marine programmes e.g. OceanTeacher Global </w:t>
            </w:r>
            <w:r>
              <w:rPr>
                <w:sz w:val="20"/>
                <w:szCs w:val="20"/>
              </w:rPr>
              <w:lastRenderedPageBreak/>
              <w:t>Academy, WMU, ocean best practises -UNESCO</w:t>
            </w:r>
            <w:r>
              <w:rPr>
                <w:sz w:val="24"/>
                <w:szCs w:val="24"/>
              </w:rPr>
              <w:t>)</w:t>
            </w:r>
          </w:p>
          <w:p w14:paraId="59363892" w14:textId="77777777" w:rsidR="008E172B" w:rsidRDefault="008E172B">
            <w:pPr>
              <w:jc w:val="both"/>
              <w:rPr>
                <w:sz w:val="20"/>
                <w:szCs w:val="20"/>
              </w:rPr>
            </w:pPr>
          </w:p>
        </w:tc>
      </w:tr>
      <w:tr w:rsidR="008E172B" w14:paraId="7D2395AF" w14:textId="77777777">
        <w:tc>
          <w:tcPr>
            <w:tcW w:w="1905" w:type="dxa"/>
          </w:tcPr>
          <w:p w14:paraId="79EA6C8D" w14:textId="77777777" w:rsidR="008E172B" w:rsidRDefault="008E172B">
            <w:pPr>
              <w:jc w:val="both"/>
              <w:rPr>
                <w:sz w:val="20"/>
                <w:szCs w:val="20"/>
              </w:rPr>
            </w:pPr>
          </w:p>
        </w:tc>
        <w:tc>
          <w:tcPr>
            <w:tcW w:w="4575" w:type="dxa"/>
          </w:tcPr>
          <w:p w14:paraId="315368BE" w14:textId="77777777" w:rsidR="008E172B" w:rsidRDefault="008E172B">
            <w:pPr>
              <w:pBdr>
                <w:top w:val="nil"/>
                <w:left w:val="nil"/>
                <w:bottom w:val="nil"/>
                <w:right w:val="nil"/>
                <w:between w:val="nil"/>
              </w:pBdr>
              <w:ind w:left="283"/>
              <w:jc w:val="both"/>
              <w:rPr>
                <w:sz w:val="20"/>
                <w:szCs w:val="20"/>
              </w:rPr>
            </w:pPr>
          </w:p>
        </w:tc>
        <w:tc>
          <w:tcPr>
            <w:tcW w:w="2865" w:type="dxa"/>
          </w:tcPr>
          <w:p w14:paraId="67E5FCE4" w14:textId="77777777" w:rsidR="008E172B" w:rsidRDefault="008E172B">
            <w:pPr>
              <w:jc w:val="both"/>
              <w:rPr>
                <w:sz w:val="20"/>
                <w:szCs w:val="20"/>
              </w:rPr>
            </w:pPr>
          </w:p>
        </w:tc>
      </w:tr>
      <w:tr w:rsidR="008E172B" w14:paraId="36D0FEEB" w14:textId="77777777">
        <w:tc>
          <w:tcPr>
            <w:tcW w:w="1905" w:type="dxa"/>
          </w:tcPr>
          <w:p w14:paraId="59325920" w14:textId="77777777" w:rsidR="008E172B" w:rsidRDefault="008E172B">
            <w:pPr>
              <w:jc w:val="both"/>
              <w:rPr>
                <w:sz w:val="20"/>
                <w:szCs w:val="20"/>
              </w:rPr>
            </w:pPr>
          </w:p>
        </w:tc>
        <w:tc>
          <w:tcPr>
            <w:tcW w:w="4575" w:type="dxa"/>
          </w:tcPr>
          <w:p w14:paraId="7B9218E2" w14:textId="77777777" w:rsidR="008E172B" w:rsidRDefault="008E172B">
            <w:pPr>
              <w:ind w:left="720"/>
              <w:jc w:val="both"/>
              <w:rPr>
                <w:sz w:val="20"/>
                <w:szCs w:val="20"/>
              </w:rPr>
            </w:pPr>
          </w:p>
        </w:tc>
        <w:tc>
          <w:tcPr>
            <w:tcW w:w="2865" w:type="dxa"/>
          </w:tcPr>
          <w:p w14:paraId="2ED18466" w14:textId="77777777" w:rsidR="008E172B" w:rsidRDefault="008E172B">
            <w:pPr>
              <w:jc w:val="both"/>
              <w:rPr>
                <w:sz w:val="20"/>
                <w:szCs w:val="20"/>
              </w:rPr>
            </w:pPr>
          </w:p>
        </w:tc>
      </w:tr>
    </w:tbl>
    <w:p w14:paraId="0AD04A40" w14:textId="77777777" w:rsidR="008E172B" w:rsidRDefault="008E172B"/>
    <w:p w14:paraId="70444281" w14:textId="77777777" w:rsidR="008E172B" w:rsidRDefault="008E172B"/>
    <w:p w14:paraId="05B84E78" w14:textId="77777777" w:rsidR="008E172B" w:rsidRDefault="00696560">
      <w:r>
        <w:rPr>
          <w:noProof/>
          <w:lang w:val="fr-FR"/>
        </w:rPr>
        <w:drawing>
          <wp:inline distT="114300" distB="114300" distL="114300" distR="114300" wp14:anchorId="0AA711F6" wp14:editId="4668BEF7">
            <wp:extent cx="5943600" cy="3213100"/>
            <wp:effectExtent l="12700" t="12700" r="12700" b="127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5943600" cy="3213100"/>
                    </a:xfrm>
                    <a:prstGeom prst="rect">
                      <a:avLst/>
                    </a:prstGeom>
                    <a:ln w="12700">
                      <a:solidFill>
                        <a:srgbClr val="000000"/>
                      </a:solidFill>
                      <a:prstDash val="solid"/>
                    </a:ln>
                  </pic:spPr>
                </pic:pic>
              </a:graphicData>
            </a:graphic>
          </wp:inline>
        </w:drawing>
      </w:r>
    </w:p>
    <w:sectPr w:rsidR="008E172B">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Valentina Tegas" w:date="2025-05-13T13:36:00Z" w:initials="">
    <w:p w14:paraId="448247D4" w14:textId="77777777" w:rsidR="008E172B" w:rsidRDefault="0069656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https://www.skills4eosc.eu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8247D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CA0A3" w14:textId="77777777" w:rsidR="00696560" w:rsidRDefault="00696560">
      <w:pPr>
        <w:spacing w:after="0" w:line="240" w:lineRule="auto"/>
      </w:pPr>
      <w:r>
        <w:separator/>
      </w:r>
    </w:p>
  </w:endnote>
  <w:endnote w:type="continuationSeparator" w:id="0">
    <w:p w14:paraId="72AABC5A" w14:textId="77777777" w:rsidR="00696560" w:rsidRDefault="00696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87D2F" w14:textId="77777777" w:rsidR="00696560" w:rsidRDefault="00696560">
      <w:pPr>
        <w:spacing w:after="0" w:line="240" w:lineRule="auto"/>
      </w:pPr>
      <w:r>
        <w:separator/>
      </w:r>
    </w:p>
  </w:footnote>
  <w:footnote w:type="continuationSeparator" w:id="0">
    <w:p w14:paraId="40089333" w14:textId="77777777" w:rsidR="00696560" w:rsidRDefault="00696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A61F7" w14:textId="77777777" w:rsidR="008E172B" w:rsidRDefault="00696560">
    <w:pPr>
      <w:pBdr>
        <w:top w:val="nil"/>
        <w:left w:val="nil"/>
        <w:bottom w:val="nil"/>
        <w:right w:val="nil"/>
        <w:between w:val="nil"/>
      </w:pBdr>
      <w:tabs>
        <w:tab w:val="center" w:pos="4680"/>
        <w:tab w:val="right" w:pos="9360"/>
      </w:tabs>
      <w:spacing w:after="0" w:line="240" w:lineRule="auto"/>
      <w:jc w:val="both"/>
      <w:rPr>
        <w:color w:val="000000"/>
      </w:rPr>
    </w:pPr>
    <w:r>
      <w:rPr>
        <w:color w:val="000000"/>
      </w:rPr>
      <w:t xml:space="preserve">     </w:t>
    </w:r>
    <w:r>
      <w:rPr>
        <w:noProof/>
        <w:color w:val="000000"/>
        <w:lang w:val="fr-FR"/>
      </w:rPr>
      <w:drawing>
        <wp:inline distT="0" distB="0" distL="0" distR="0" wp14:anchorId="0CF7486F" wp14:editId="05A27111">
          <wp:extent cx="2039622" cy="579418"/>
          <wp:effectExtent l="0" t="0" r="0" b="0"/>
          <wp:docPr id="3" name="image2.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Logo&#10;&#10;Description automatically generated"/>
                  <pic:cNvPicPr preferRelativeResize="0"/>
                </pic:nvPicPr>
                <pic:blipFill>
                  <a:blip r:embed="rId1"/>
                  <a:srcRect/>
                  <a:stretch>
                    <a:fillRect/>
                  </a:stretch>
                </pic:blipFill>
                <pic:spPr>
                  <a:xfrm>
                    <a:off x="0" y="0"/>
                    <a:ext cx="2039622" cy="579418"/>
                  </a:xfrm>
                  <a:prstGeom prst="rect">
                    <a:avLst/>
                  </a:prstGeom>
                  <a:ln/>
                </pic:spPr>
              </pic:pic>
            </a:graphicData>
          </a:graphic>
        </wp:inline>
      </w:drawing>
    </w:r>
    <w:r>
      <w:rPr>
        <w:color w:val="000000"/>
      </w:rPr>
      <w:t xml:space="preserve">       </w:t>
    </w:r>
    <w:r>
      <w:rPr>
        <w:color w:val="000000"/>
      </w:rPr>
      <w:tab/>
    </w:r>
    <w:r>
      <w:rPr>
        <w:b/>
        <w:color w:val="000000"/>
        <w:sz w:val="28"/>
        <w:szCs w:val="28"/>
      </w:rPr>
      <w:t>Project Scope</w:t>
    </w:r>
    <w:r>
      <w:rPr>
        <w:color w:val="000000"/>
      </w:rPr>
      <w:tab/>
    </w:r>
    <w:r>
      <w:rPr>
        <w:rFonts w:ascii="Cambria" w:eastAsia="Cambria" w:hAnsi="Cambria" w:cs="Cambria"/>
        <w:noProof/>
        <w:sz w:val="24"/>
        <w:szCs w:val="24"/>
        <w:lang w:val="fr-FR"/>
      </w:rPr>
      <w:drawing>
        <wp:inline distT="0" distB="0" distL="0" distR="0" wp14:anchorId="43D84921" wp14:editId="5B7A5A6B">
          <wp:extent cx="1095482" cy="69689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095482" cy="696895"/>
                  </a:xfrm>
                  <a:prstGeom prst="rect">
                    <a:avLst/>
                  </a:prstGeom>
                  <a:ln/>
                </pic:spPr>
              </pic:pic>
            </a:graphicData>
          </a:graphic>
        </wp:inline>
      </w:drawing>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603D"/>
    <w:multiLevelType w:val="multilevel"/>
    <w:tmpl w:val="C09490BA"/>
    <w:lvl w:ilvl="0">
      <w:start w:val="1"/>
      <w:numFmt w:val="bullet"/>
      <w:lvlText w:val="-"/>
      <w:lvlJc w:val="left"/>
      <w:pPr>
        <w:ind w:left="502" w:hanging="360"/>
      </w:pPr>
      <w:rPr>
        <w:u w:val="none"/>
      </w:rPr>
    </w:lvl>
    <w:lvl w:ilvl="1">
      <w:start w:val="1"/>
      <w:numFmt w:val="bullet"/>
      <w:lvlText w:val="-"/>
      <w:lvlJc w:val="left"/>
      <w:pPr>
        <w:ind w:left="1222" w:hanging="360"/>
      </w:pPr>
      <w:rPr>
        <w:u w:val="none"/>
      </w:rPr>
    </w:lvl>
    <w:lvl w:ilvl="2">
      <w:start w:val="1"/>
      <w:numFmt w:val="bullet"/>
      <w:lvlText w:val="-"/>
      <w:lvlJc w:val="left"/>
      <w:pPr>
        <w:ind w:left="1942" w:hanging="360"/>
      </w:pPr>
      <w:rPr>
        <w:u w:val="none"/>
      </w:rPr>
    </w:lvl>
    <w:lvl w:ilvl="3">
      <w:start w:val="1"/>
      <w:numFmt w:val="bullet"/>
      <w:lvlText w:val="-"/>
      <w:lvlJc w:val="left"/>
      <w:pPr>
        <w:ind w:left="2662" w:hanging="360"/>
      </w:pPr>
      <w:rPr>
        <w:u w:val="none"/>
      </w:rPr>
    </w:lvl>
    <w:lvl w:ilvl="4">
      <w:start w:val="1"/>
      <w:numFmt w:val="bullet"/>
      <w:lvlText w:val="-"/>
      <w:lvlJc w:val="left"/>
      <w:pPr>
        <w:ind w:left="3382" w:hanging="360"/>
      </w:pPr>
      <w:rPr>
        <w:u w:val="none"/>
      </w:rPr>
    </w:lvl>
    <w:lvl w:ilvl="5">
      <w:start w:val="1"/>
      <w:numFmt w:val="bullet"/>
      <w:lvlText w:val="-"/>
      <w:lvlJc w:val="left"/>
      <w:pPr>
        <w:ind w:left="4102" w:hanging="360"/>
      </w:pPr>
      <w:rPr>
        <w:u w:val="none"/>
      </w:rPr>
    </w:lvl>
    <w:lvl w:ilvl="6">
      <w:start w:val="1"/>
      <w:numFmt w:val="bullet"/>
      <w:lvlText w:val="-"/>
      <w:lvlJc w:val="left"/>
      <w:pPr>
        <w:ind w:left="4822" w:hanging="360"/>
      </w:pPr>
      <w:rPr>
        <w:u w:val="none"/>
      </w:rPr>
    </w:lvl>
    <w:lvl w:ilvl="7">
      <w:start w:val="1"/>
      <w:numFmt w:val="bullet"/>
      <w:lvlText w:val="-"/>
      <w:lvlJc w:val="left"/>
      <w:pPr>
        <w:ind w:left="5542" w:hanging="360"/>
      </w:pPr>
      <w:rPr>
        <w:u w:val="none"/>
      </w:rPr>
    </w:lvl>
    <w:lvl w:ilvl="8">
      <w:start w:val="1"/>
      <w:numFmt w:val="bullet"/>
      <w:lvlText w:val="-"/>
      <w:lvlJc w:val="left"/>
      <w:pPr>
        <w:ind w:left="6262" w:hanging="360"/>
      </w:pPr>
      <w:rPr>
        <w:u w:val="none"/>
      </w:rPr>
    </w:lvl>
  </w:abstractNum>
  <w:abstractNum w:abstractNumId="1" w15:restartNumberingAfterBreak="0">
    <w:nsid w:val="058442B6"/>
    <w:multiLevelType w:val="multilevel"/>
    <w:tmpl w:val="F5706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E815E9"/>
    <w:multiLevelType w:val="multilevel"/>
    <w:tmpl w:val="5D66AF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F211A6"/>
    <w:multiLevelType w:val="multilevel"/>
    <w:tmpl w:val="85E64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C6B0F48"/>
    <w:multiLevelType w:val="multilevel"/>
    <w:tmpl w:val="CEB44D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80D0C24"/>
    <w:multiLevelType w:val="multilevel"/>
    <w:tmpl w:val="F8627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CF475D9"/>
    <w:multiLevelType w:val="multilevel"/>
    <w:tmpl w:val="9842BF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8A31B26"/>
    <w:multiLevelType w:val="multilevel"/>
    <w:tmpl w:val="4F9A2E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1220D99"/>
    <w:multiLevelType w:val="multilevel"/>
    <w:tmpl w:val="B742FC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0262166"/>
    <w:multiLevelType w:val="multilevel"/>
    <w:tmpl w:val="0E02C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3304D00"/>
    <w:multiLevelType w:val="multilevel"/>
    <w:tmpl w:val="7F602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3EF5FBF"/>
    <w:multiLevelType w:val="multilevel"/>
    <w:tmpl w:val="EDA6C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A2824BE"/>
    <w:multiLevelType w:val="multilevel"/>
    <w:tmpl w:val="7B92F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C0A6FDE"/>
    <w:multiLevelType w:val="multilevel"/>
    <w:tmpl w:val="EAECF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7"/>
  </w:num>
  <w:num w:numId="3">
    <w:abstractNumId w:val="11"/>
  </w:num>
  <w:num w:numId="4">
    <w:abstractNumId w:val="4"/>
  </w:num>
  <w:num w:numId="5">
    <w:abstractNumId w:val="13"/>
  </w:num>
  <w:num w:numId="6">
    <w:abstractNumId w:val="12"/>
  </w:num>
  <w:num w:numId="7">
    <w:abstractNumId w:val="5"/>
  </w:num>
  <w:num w:numId="8">
    <w:abstractNumId w:val="6"/>
  </w:num>
  <w:num w:numId="9">
    <w:abstractNumId w:val="0"/>
  </w:num>
  <w:num w:numId="10">
    <w:abstractNumId w:val="8"/>
  </w:num>
  <w:num w:numId="11">
    <w:abstractNumId w:val="1"/>
  </w:num>
  <w:num w:numId="12">
    <w:abstractNumId w:val="9"/>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72B"/>
    <w:rsid w:val="00561A31"/>
    <w:rsid w:val="00696560"/>
    <w:rsid w:val="007764C7"/>
    <w:rsid w:val="00792E3A"/>
    <w:rsid w:val="00873E1C"/>
    <w:rsid w:val="008E172B"/>
    <w:rsid w:val="00B446C9"/>
    <w:rsid w:val="00BB7DC7"/>
    <w:rsid w:val="00CC1F06"/>
    <w:rsid w:val="00D5097B"/>
    <w:rsid w:val="00F5368E"/>
    <w:rsid w:val="00FF651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B7956"/>
  <w15:docId w15:val="{260A1714-2AD7-4914-BB7A-8DE1AD7CB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792E3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2E3A"/>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F5368E"/>
    <w:rPr>
      <w:b/>
      <w:bCs/>
    </w:rPr>
  </w:style>
  <w:style w:type="character" w:customStyle="1" w:styleId="ObjetducommentaireCar">
    <w:name w:val="Objet du commentaire Car"/>
    <w:basedOn w:val="CommentaireCar"/>
    <w:link w:val="Objetducommentaire"/>
    <w:uiPriority w:val="99"/>
    <w:semiHidden/>
    <w:rsid w:val="00F5368E"/>
    <w:rPr>
      <w:b/>
      <w:bCs/>
      <w:sz w:val="20"/>
      <w:szCs w:val="20"/>
    </w:rPr>
  </w:style>
  <w:style w:type="paragraph" w:styleId="Paragraphedeliste">
    <w:name w:val="List Paragraph"/>
    <w:basedOn w:val="Normal"/>
    <w:uiPriority w:val="34"/>
    <w:qFormat/>
    <w:rsid w:val="00F536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teven.Piel@ifremer.fr" TargetMode="External"/><Relationship Id="rId13" Type="http://schemas.openxmlformats.org/officeDocument/2006/relationships/hyperlink" Target="mailto:roberto.bozzano@cnr.it" TargetMode="External"/><Relationship Id="rId18" Type="http://schemas.openxmlformats.org/officeDocument/2006/relationships/hyperlink" Target="https://ritrainplus.eu/"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enoc.martinez@upc.edu" TargetMode="External"/><Relationship Id="rId12" Type="http://schemas.openxmlformats.org/officeDocument/2006/relationships/hyperlink" Target="mailto:sara.pensieri@cnr.it" TargetMode="External"/><Relationship Id="rId17" Type="http://schemas.openxmlformats.org/officeDocument/2006/relationships/hyperlink" Target="mailto:Thierry.Carval@ifremer.fr" TargetMode="External"/><Relationship Id="rId2" Type="http://schemas.openxmlformats.org/officeDocument/2006/relationships/styles" Target="styles.xml"/><Relationship Id="rId16" Type="http://schemas.openxmlformats.org/officeDocument/2006/relationships/hyperlink" Target="mailto:Steven.Piel@ifremer.fr" TargetMode="Externa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lvana.neves@plocan.e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Nan.Chin.Chu@ifremer.fr" TargetMode="External"/><Relationship Id="rId23" Type="http://schemas.openxmlformats.org/officeDocument/2006/relationships/fontTable" Target="fontTable.xml"/><Relationship Id="rId10" Type="http://schemas.openxmlformats.org/officeDocument/2006/relationships/hyperlink" Target="mailto:Nan.Chin.Chu@ifremer.fr" TargetMode="External"/><Relationship Id="rId19"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mailto:Thierry.Carval@ifremer.fr" TargetMode="External"/><Relationship Id="rId14" Type="http://schemas.openxmlformats.org/officeDocument/2006/relationships/hyperlink" Target="mailto:Florence.Salvetat@ifremer.fr" TargetMode="External"/><Relationship Id="rId22"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2209</Words>
  <Characters>12152</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PUILLAT</dc:creator>
  <cp:lastModifiedBy>Ingrid PUILLAT, Ifremer Brest PDG-ODE-LOPS-OC, 0</cp:lastModifiedBy>
  <cp:revision>2</cp:revision>
  <dcterms:created xsi:type="dcterms:W3CDTF">2025-05-15T16:26:00Z</dcterms:created>
  <dcterms:modified xsi:type="dcterms:W3CDTF">2025-05-15T16:26:00Z</dcterms:modified>
</cp:coreProperties>
</file>